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50" w:rsidRPr="00084650" w:rsidRDefault="00084650">
      <w:pPr>
        <w:rPr>
          <w:b/>
          <w:sz w:val="28"/>
        </w:rPr>
      </w:pPr>
      <w:r w:rsidRPr="00084650">
        <w:rPr>
          <w:b/>
          <w:sz w:val="28"/>
        </w:rPr>
        <w:t>Workers’ Comp</w:t>
      </w:r>
      <w:r w:rsidR="002A1074">
        <w:rPr>
          <w:b/>
          <w:sz w:val="28"/>
        </w:rPr>
        <w:t>ensation Premium Estimator for Preliminary 2018 R</w:t>
      </w:r>
      <w:r w:rsidRPr="00084650">
        <w:rPr>
          <w:b/>
          <w:sz w:val="28"/>
        </w:rPr>
        <w:t>ates</w:t>
      </w:r>
    </w:p>
    <w:p w:rsidR="00084650" w:rsidRDefault="00084650"/>
    <w:p w:rsidR="008B03BB" w:rsidRDefault="002E0B51">
      <w:r>
        <w:t xml:space="preserve">The attached </w:t>
      </w:r>
      <w:r w:rsidR="00084650">
        <w:t xml:space="preserve">excel spreadsheet is a </w:t>
      </w:r>
      <w:r>
        <w:t>tool to help fire districts estimate their workers’ co</w:t>
      </w:r>
      <w:r w:rsidR="002A1074">
        <w:t>mpensation premium costs in 2018</w:t>
      </w:r>
      <w:r>
        <w:t xml:space="preserve">. It includes the preliminary </w:t>
      </w:r>
      <w:r w:rsidR="002B4B43">
        <w:t xml:space="preserve">experience factor </w:t>
      </w:r>
      <w:r>
        <w:t xml:space="preserve">for each fire district. </w:t>
      </w:r>
      <w:r w:rsidR="00927AC0">
        <w:t xml:space="preserve">After </w:t>
      </w:r>
      <w:r w:rsidR="002B4B43">
        <w:t>entering estimat</w:t>
      </w:r>
      <w:r>
        <w:t>ed hours for the upcoming year, the spreadsheet will calculate total premiums</w:t>
      </w:r>
      <w:r w:rsidR="002B4B43">
        <w:t xml:space="preserve">, showing the </w:t>
      </w:r>
      <w:r>
        <w:t>employee and employer portion.</w:t>
      </w:r>
      <w:r w:rsidR="00927AC0">
        <w:t xml:space="preserve"> </w:t>
      </w:r>
    </w:p>
    <w:p w:rsidR="002E0B51" w:rsidRDefault="002E0B51"/>
    <w:p w:rsidR="002E0B51" w:rsidRDefault="002E0B51">
      <w:pPr>
        <w:rPr>
          <w:rFonts w:ascii="Lucida Sans Unicode" w:hAnsi="Lucida Sans Unicode" w:cs="Lucida Sans Unicode"/>
          <w:color w:val="000000"/>
          <w:sz w:val="19"/>
          <w:szCs w:val="19"/>
          <w:shd w:val="clear" w:color="auto" w:fill="FFFFFF"/>
        </w:rPr>
      </w:pPr>
      <w:r>
        <w:t xml:space="preserve">Please note that these rates are preliminary. </w:t>
      </w:r>
      <w:r w:rsidRPr="002E0B51">
        <w:t>The public is invited to comment on L&amp;I's pr</w:t>
      </w:r>
      <w:r>
        <w:t>o</w:t>
      </w:r>
      <w:r w:rsidRPr="002E0B51">
        <w:t xml:space="preserve">posed rates at public hearings around the state in October. The final rate decision will be announced by early December. Complete information is </w:t>
      </w:r>
      <w:r w:rsidRPr="00084650">
        <w:t xml:space="preserve">online </w:t>
      </w:r>
      <w:r w:rsidRPr="00084650">
        <w:rPr>
          <w:color w:val="000000"/>
          <w:shd w:val="clear" w:color="auto" w:fill="FFFFFF"/>
        </w:rPr>
        <w:t xml:space="preserve">at </w:t>
      </w:r>
      <w:hyperlink r:id="rId6" w:history="1">
        <w:r w:rsidRPr="00084650">
          <w:rPr>
            <w:rStyle w:val="Hyperlink"/>
            <w:color w:val="275FB7"/>
            <w:shd w:val="clear" w:color="auto" w:fill="FFFFFF"/>
          </w:rPr>
          <w:t>www.Lni.wa.gov/Rates</w:t>
        </w:r>
      </w:hyperlink>
      <w:r w:rsidRPr="00084650">
        <w:rPr>
          <w:color w:val="000000"/>
          <w:shd w:val="clear" w:color="auto" w:fill="FFFFFF"/>
        </w:rPr>
        <w:t>.</w:t>
      </w:r>
      <w:r>
        <w:rPr>
          <w:rFonts w:ascii="Lucida Sans Unicode" w:hAnsi="Lucida Sans Unicode" w:cs="Lucida Sans Unicode"/>
          <w:color w:val="000000"/>
          <w:sz w:val="19"/>
          <w:szCs w:val="19"/>
          <w:shd w:val="clear" w:color="auto" w:fill="FFFFFF"/>
        </w:rPr>
        <w:t> </w:t>
      </w:r>
    </w:p>
    <w:p w:rsidR="002F07EB" w:rsidRDefault="002F07EB">
      <w:pPr>
        <w:rPr>
          <w:rFonts w:ascii="Lucida Sans Unicode" w:hAnsi="Lucida Sans Unicode" w:cs="Lucida Sans Unicode"/>
          <w:color w:val="000000"/>
          <w:sz w:val="19"/>
          <w:szCs w:val="19"/>
          <w:shd w:val="clear" w:color="auto" w:fill="FFFFFF"/>
        </w:rPr>
      </w:pPr>
    </w:p>
    <w:p w:rsidR="002F07EB" w:rsidRPr="002F07EB" w:rsidRDefault="002F07EB">
      <w:pPr>
        <w:rPr>
          <w:b/>
          <w:color w:val="000000"/>
          <w:shd w:val="clear" w:color="auto" w:fill="FFFFFF"/>
        </w:rPr>
      </w:pPr>
      <w:r w:rsidRPr="002F07EB">
        <w:rPr>
          <w:b/>
          <w:color w:val="000000"/>
          <w:shd w:val="clear" w:color="auto" w:fill="FFFFFF"/>
        </w:rPr>
        <w:t xml:space="preserve">How do I use this tool to </w:t>
      </w:r>
      <w:r w:rsidR="002A1074">
        <w:rPr>
          <w:b/>
          <w:color w:val="000000"/>
          <w:shd w:val="clear" w:color="auto" w:fill="FFFFFF"/>
        </w:rPr>
        <w:t>estimate my premiums for 2018</w:t>
      </w:r>
      <w:r w:rsidRPr="002F07EB">
        <w:rPr>
          <w:b/>
          <w:color w:val="000000"/>
          <w:shd w:val="clear" w:color="auto" w:fill="FFFFFF"/>
        </w:rPr>
        <w:t>?</w:t>
      </w:r>
    </w:p>
    <w:p w:rsidR="002F07EB" w:rsidRPr="002F07EB" w:rsidRDefault="002F07EB">
      <w:pPr>
        <w:rPr>
          <w:color w:val="000000"/>
          <w:shd w:val="clear" w:color="auto" w:fill="FFFFFF"/>
        </w:rPr>
      </w:pPr>
    </w:p>
    <w:p w:rsidR="002F07EB" w:rsidRDefault="002F07EB">
      <w:pPr>
        <w:rPr>
          <w:b/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t xml:space="preserve">Step 1: </w:t>
      </w:r>
    </w:p>
    <w:p w:rsidR="002F07EB" w:rsidRPr="002F07EB" w:rsidRDefault="002F07EB">
      <w:pPr>
        <w:rPr>
          <w:b/>
          <w:i/>
          <w:color w:val="000000"/>
          <w:shd w:val="clear" w:color="auto" w:fill="FFFFFF"/>
        </w:rPr>
      </w:pPr>
      <w:r w:rsidRPr="002F07EB">
        <w:rPr>
          <w:color w:val="000000"/>
          <w:shd w:val="clear" w:color="auto" w:fill="FFFFFF"/>
        </w:rPr>
        <w:t>Look-up your organization’s experience factor</w:t>
      </w:r>
      <w:r w:rsidR="002A1074">
        <w:rPr>
          <w:color w:val="000000"/>
          <w:shd w:val="clear" w:color="auto" w:fill="FFFFFF"/>
        </w:rPr>
        <w:t xml:space="preserve"> in the tab labeled “Prelim 2018</w:t>
      </w:r>
      <w:r w:rsidRPr="002F07EB">
        <w:rPr>
          <w:color w:val="000000"/>
          <w:shd w:val="clear" w:color="auto" w:fill="FFFFFF"/>
        </w:rPr>
        <w:t xml:space="preserve"> Exp Factors”</w:t>
      </w:r>
    </w:p>
    <w:p w:rsidR="002F07EB" w:rsidRPr="002F07EB" w:rsidRDefault="002F07EB">
      <w:pPr>
        <w:rPr>
          <w:color w:val="000000"/>
          <w:shd w:val="clear" w:color="auto" w:fill="FFFFFF"/>
        </w:rPr>
      </w:pPr>
      <w:r w:rsidRPr="002F07EB">
        <w:rPr>
          <w:noProof/>
          <w:color w:val="000000"/>
          <w:shd w:val="clear" w:color="auto" w:fill="FFFFFF"/>
        </w:rPr>
        <w:drawing>
          <wp:inline distT="0" distB="0" distL="0" distR="0" wp14:anchorId="54EA0698" wp14:editId="310BC684">
            <wp:extent cx="2841674" cy="2250831"/>
            <wp:effectExtent l="19050" t="19050" r="1587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4EBA7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" t="27298" r="51598" b="1681"/>
                    <a:stretch/>
                  </pic:blipFill>
                  <pic:spPr bwMode="auto">
                    <a:xfrm>
                      <a:off x="0" y="0"/>
                      <a:ext cx="2841674" cy="22508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7EB" w:rsidRPr="002F07EB" w:rsidRDefault="002F07EB">
      <w:pPr>
        <w:rPr>
          <w:color w:val="000000"/>
          <w:shd w:val="clear" w:color="auto" w:fill="FFFFFF"/>
        </w:rPr>
      </w:pPr>
    </w:p>
    <w:p w:rsidR="002F07EB" w:rsidRDefault="002F07EB">
      <w:pPr>
        <w:rPr>
          <w:b/>
          <w:i/>
          <w:color w:val="000000"/>
          <w:shd w:val="clear" w:color="auto" w:fill="FFFFFF"/>
        </w:rPr>
      </w:pPr>
      <w:r w:rsidRPr="002F07EB">
        <w:rPr>
          <w:b/>
          <w:i/>
          <w:color w:val="000000"/>
          <w:shd w:val="clear" w:color="auto" w:fill="FFFFFF"/>
        </w:rPr>
        <w:t>Step 2</w:t>
      </w:r>
      <w:r>
        <w:rPr>
          <w:b/>
          <w:i/>
          <w:color w:val="000000"/>
          <w:shd w:val="clear" w:color="auto" w:fill="FFFFFF"/>
        </w:rPr>
        <w:t xml:space="preserve">: </w:t>
      </w:r>
    </w:p>
    <w:p w:rsidR="002F07EB" w:rsidRDefault="002F07EB">
      <w:pPr>
        <w:rPr>
          <w:color w:val="000000"/>
          <w:shd w:val="clear" w:color="auto" w:fill="FFFFFF"/>
        </w:rPr>
      </w:pPr>
      <w:r w:rsidRPr="002F07EB">
        <w:rPr>
          <w:color w:val="000000"/>
          <w:shd w:val="clear" w:color="auto" w:fill="FFFFFF"/>
        </w:rPr>
        <w:t>Enter you</w:t>
      </w:r>
      <w:r w:rsidR="002A1074">
        <w:rPr>
          <w:color w:val="000000"/>
          <w:shd w:val="clear" w:color="auto" w:fill="FFFFFF"/>
        </w:rPr>
        <w:t xml:space="preserve"> organization’s preliminary 2018</w:t>
      </w:r>
      <w:r w:rsidRPr="002F07EB">
        <w:rPr>
          <w:color w:val="000000"/>
          <w:shd w:val="clear" w:color="auto" w:fill="FFFFFF"/>
        </w:rPr>
        <w:t xml:space="preserve"> experience factor in the green cell in the top left-hand corner of the tab labeled “Premium Estimator”</w:t>
      </w:r>
    </w:p>
    <w:p w:rsidR="002F07EB" w:rsidRPr="002F07EB" w:rsidRDefault="00770F8E">
      <w:pPr>
        <w:rPr>
          <w:b/>
          <w:i/>
          <w:color w:val="000000"/>
          <w:shd w:val="clear" w:color="auto" w:fill="FFFFFF"/>
        </w:rPr>
      </w:pPr>
      <w:r>
        <w:rPr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-477862</wp:posOffset>
                </wp:positionH>
                <wp:positionV relativeFrom="paragraph">
                  <wp:posOffset>325755</wp:posOffset>
                </wp:positionV>
                <wp:extent cx="478301" cy="189914"/>
                <wp:effectExtent l="0" t="19050" r="36195" b="3873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01" cy="18991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13B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-37.65pt;margin-top:25.65pt;width:37.6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" adj="17312" fillcolor="#c0504d [3205]" strokecolor="#622423 [1605]" strokeweight="2pt"/>
            </w:pict>
          </mc:Fallback>
        </mc:AlternateContent>
      </w:r>
      <w:r>
        <w:rPr>
          <w:b/>
          <w:i/>
          <w:noProof/>
          <w:color w:val="000000"/>
          <w:shd w:val="clear" w:color="auto" w:fill="FFFFFF"/>
        </w:rPr>
        <w:drawing>
          <wp:inline distT="0" distB="0" distL="0" distR="0">
            <wp:extent cx="4937760" cy="2099208"/>
            <wp:effectExtent l="19050" t="19050" r="15240" b="158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4D051.t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" t="27742" r="10651" b="1682"/>
                    <a:stretch/>
                  </pic:blipFill>
                  <pic:spPr bwMode="auto">
                    <a:xfrm>
                      <a:off x="0" y="0"/>
                      <a:ext cx="4937760" cy="20992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7EB" w:rsidRPr="002F07EB" w:rsidRDefault="002F07EB">
      <w:pPr>
        <w:rPr>
          <w:b/>
          <w:i/>
          <w:color w:val="000000"/>
          <w:shd w:val="clear" w:color="auto" w:fill="FFFFFF"/>
        </w:rPr>
      </w:pPr>
      <w:r w:rsidRPr="002F07EB">
        <w:rPr>
          <w:b/>
          <w:i/>
          <w:color w:val="000000"/>
          <w:shd w:val="clear" w:color="auto" w:fill="FFFFFF"/>
        </w:rPr>
        <w:lastRenderedPageBreak/>
        <w:t>Step 3:</w:t>
      </w:r>
    </w:p>
    <w:p w:rsidR="002F07EB" w:rsidRDefault="002F07E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En</w:t>
      </w:r>
      <w:r w:rsidR="002A1074">
        <w:rPr>
          <w:color w:val="000000"/>
          <w:shd w:val="clear" w:color="auto" w:fill="FFFFFF"/>
        </w:rPr>
        <w:t>ter the estimated hours for 2018</w:t>
      </w:r>
      <w:r>
        <w:rPr>
          <w:color w:val="000000"/>
          <w:shd w:val="clear" w:color="auto" w:fill="FFFFFF"/>
        </w:rPr>
        <w:t xml:space="preserve"> in the orange cells for each risk classification that your organization has. Note: most fire districts will only have employees in risk classifications 6904 (Firefighters) and 5306 (Admin/Clerical Office).</w:t>
      </w:r>
    </w:p>
    <w:p w:rsidR="009A45FB" w:rsidRDefault="00770F8E">
      <w:pPr>
        <w:rPr>
          <w:color w:val="000000"/>
          <w:shd w:val="clear" w:color="auto" w:fill="FFFFFF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A2490" wp14:editId="0BC95E90">
                <wp:simplePos x="0" y="0"/>
                <wp:positionH relativeFrom="column">
                  <wp:posOffset>1786598</wp:posOffset>
                </wp:positionH>
                <wp:positionV relativeFrom="paragraph">
                  <wp:posOffset>3077</wp:posOffset>
                </wp:positionV>
                <wp:extent cx="175846" cy="358140"/>
                <wp:effectExtent l="19050" t="0" r="34290" b="4191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3581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EEBB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140.7pt;margin-top:.25pt;width:13.85pt;height:2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" adj="16297" fillcolor="#c0504d [3205]" strokecolor="#622423 [1605]" strokeweight="2pt"/>
            </w:pict>
          </mc:Fallback>
        </mc:AlternateContent>
      </w:r>
      <w:r>
        <w:rPr>
          <w:b/>
          <w:i/>
          <w:noProof/>
          <w:color w:val="000000"/>
          <w:shd w:val="clear" w:color="auto" w:fill="FFFFFF"/>
        </w:rPr>
        <w:drawing>
          <wp:inline distT="0" distB="0" distL="0" distR="0" wp14:anchorId="508A1810" wp14:editId="5CCA0463">
            <wp:extent cx="4939358" cy="209608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4127D.tmp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" t="27742" r="10887" b="1903"/>
                    <a:stretch/>
                  </pic:blipFill>
                  <pic:spPr bwMode="auto">
                    <a:xfrm>
                      <a:off x="0" y="0"/>
                      <a:ext cx="4941077" cy="2096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5FB" w:rsidRDefault="009A45FB">
      <w:pPr>
        <w:rPr>
          <w:color w:val="000000"/>
          <w:shd w:val="clear" w:color="auto" w:fill="FFFFFF"/>
        </w:rPr>
      </w:pPr>
    </w:p>
    <w:p w:rsidR="002B4B43" w:rsidRDefault="002B4B43">
      <w:pPr>
        <w:rPr>
          <w:color w:val="000000"/>
          <w:shd w:val="clear" w:color="auto" w:fill="FFFFFF"/>
        </w:rPr>
      </w:pPr>
    </w:p>
    <w:p w:rsidR="002B4B43" w:rsidRDefault="002B4B43">
      <w:pPr>
        <w:rPr>
          <w:color w:val="000000"/>
          <w:shd w:val="clear" w:color="auto" w:fill="FFFFFF"/>
        </w:rPr>
      </w:pPr>
    </w:p>
    <w:p w:rsidR="00084650" w:rsidRPr="009A45FB" w:rsidRDefault="009A45FB">
      <w:pPr>
        <w:rPr>
          <w:b/>
          <w:color w:val="000000"/>
          <w:sz w:val="28"/>
          <w:shd w:val="clear" w:color="auto" w:fill="FFFFFF"/>
        </w:rPr>
      </w:pPr>
      <w:r w:rsidRPr="009A45FB">
        <w:rPr>
          <w:b/>
          <w:color w:val="000000"/>
          <w:sz w:val="28"/>
          <w:shd w:val="clear" w:color="auto" w:fill="FFFFFF"/>
        </w:rPr>
        <w:t>Frequently Asked Questions about Workers Compensation Premiums</w:t>
      </w:r>
    </w:p>
    <w:p w:rsidR="009A45FB" w:rsidRPr="002F07EB" w:rsidRDefault="009A45FB">
      <w:pPr>
        <w:rPr>
          <w:color w:val="000000"/>
          <w:shd w:val="clear" w:color="auto" w:fill="FFFFFF"/>
        </w:rPr>
      </w:pPr>
    </w:p>
    <w:p w:rsidR="00084650" w:rsidRPr="00084650" w:rsidRDefault="00084650" w:rsidP="00084650">
      <w:r w:rsidRPr="00084650">
        <w:rPr>
          <w:b/>
          <w:bCs/>
        </w:rPr>
        <w:t xml:space="preserve">How </w:t>
      </w:r>
      <w:r>
        <w:rPr>
          <w:b/>
          <w:bCs/>
        </w:rPr>
        <w:t>are</w:t>
      </w:r>
      <w:r w:rsidRPr="00084650">
        <w:rPr>
          <w:b/>
          <w:bCs/>
        </w:rPr>
        <w:t xml:space="preserve"> premiums calculated</w:t>
      </w:r>
      <w:r>
        <w:rPr>
          <w:b/>
          <w:bCs/>
        </w:rPr>
        <w:t xml:space="preserve"> for an individual employer</w:t>
      </w:r>
      <w:r w:rsidRPr="00084650">
        <w:rPr>
          <w:b/>
          <w:bCs/>
        </w:rPr>
        <w:t>?</w:t>
      </w:r>
    </w:p>
    <w:p w:rsidR="00084650" w:rsidRPr="00084650" w:rsidRDefault="00084650" w:rsidP="00084650">
      <w:r w:rsidRPr="00084650">
        <w:t xml:space="preserve">For each risk class assigned to </w:t>
      </w:r>
      <w:r>
        <w:t>an employer</w:t>
      </w:r>
      <w:r w:rsidRPr="00084650">
        <w:t xml:space="preserve"> their quarterly premium is calculated as:</w:t>
      </w:r>
    </w:p>
    <w:p w:rsidR="00084650" w:rsidRDefault="00084650" w:rsidP="00084650">
      <w:pPr>
        <w:rPr>
          <w:i/>
          <w:iCs/>
        </w:rPr>
      </w:pPr>
    </w:p>
    <w:tbl>
      <w:tblPr>
        <w:tblW w:w="105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413"/>
        <w:gridCol w:w="487"/>
        <w:gridCol w:w="450"/>
        <w:gridCol w:w="1483"/>
        <w:gridCol w:w="372"/>
        <w:gridCol w:w="395"/>
        <w:gridCol w:w="2880"/>
        <w:gridCol w:w="360"/>
        <w:gridCol w:w="360"/>
        <w:gridCol w:w="380"/>
        <w:gridCol w:w="1693"/>
        <w:gridCol w:w="328"/>
      </w:tblGrid>
      <w:tr w:rsidR="00084650" w:rsidRPr="00084650" w:rsidTr="00084650">
        <w:trPr>
          <w:trHeight w:val="1011"/>
        </w:trPr>
        <w:tc>
          <w:tcPr>
            <w:tcW w:w="9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084650">
              <w:rPr>
                <w:bCs/>
                <w:color w:val="000000"/>
                <w:kern w:val="24"/>
                <w:szCs w:val="28"/>
              </w:rPr>
              <w:t>Hours</w:t>
            </w:r>
          </w:p>
        </w:tc>
        <w:tc>
          <w:tcPr>
            <w:tcW w:w="4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084650">
              <w:rPr>
                <w:bCs/>
                <w:color w:val="000000"/>
                <w:kern w:val="24"/>
                <w:sz w:val="28"/>
                <w:szCs w:val="28"/>
              </w:rPr>
              <w:t>x</w:t>
            </w:r>
          </w:p>
        </w:tc>
        <w:tc>
          <w:tcPr>
            <w:tcW w:w="4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72"/>
                <w:szCs w:val="36"/>
              </w:rPr>
            </w:pPr>
            <w:r w:rsidRPr="00084650">
              <w:rPr>
                <w:color w:val="000000"/>
                <w:kern w:val="24"/>
                <w:sz w:val="72"/>
                <w:szCs w:val="120"/>
              </w:rPr>
              <w:t>(</w:t>
            </w:r>
          </w:p>
        </w:tc>
        <w:tc>
          <w:tcPr>
            <w:tcW w:w="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72"/>
                <w:szCs w:val="36"/>
              </w:rPr>
            </w:pPr>
            <w:r w:rsidRPr="00084650">
              <w:rPr>
                <w:rFonts w:eastAsia="Calibri"/>
                <w:color w:val="000000"/>
                <w:kern w:val="24"/>
                <w:sz w:val="72"/>
                <w:szCs w:val="120"/>
              </w:rPr>
              <w:t>[</w:t>
            </w:r>
          </w:p>
        </w:tc>
        <w:tc>
          <w:tcPr>
            <w:tcW w:w="14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084650">
              <w:rPr>
                <w:bCs/>
                <w:color w:val="000000"/>
                <w:kern w:val="24"/>
                <w:szCs w:val="28"/>
              </w:rPr>
              <w:t>Firm’s Experience Factor</w:t>
            </w:r>
          </w:p>
        </w:tc>
        <w:tc>
          <w:tcPr>
            <w:tcW w:w="37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084650">
              <w:rPr>
                <w:bCs/>
                <w:color w:val="000000"/>
                <w:kern w:val="24"/>
                <w:sz w:val="28"/>
                <w:szCs w:val="28"/>
              </w:rPr>
              <w:t>x</w:t>
            </w:r>
          </w:p>
        </w:tc>
        <w:tc>
          <w:tcPr>
            <w:tcW w:w="3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084650">
              <w:rPr>
                <w:color w:val="000000"/>
                <w:kern w:val="24"/>
                <w:sz w:val="72"/>
                <w:szCs w:val="108"/>
              </w:rPr>
              <w:t>(</w:t>
            </w:r>
          </w:p>
        </w:tc>
        <w:tc>
          <w:tcPr>
            <w:tcW w:w="2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084650">
              <w:rPr>
                <w:bCs/>
                <w:color w:val="000000"/>
                <w:kern w:val="24"/>
                <w:szCs w:val="28"/>
              </w:rPr>
              <w:t>Accident base rate* + Medical Aid base rate* + Stay at Work base rate*</w:t>
            </w:r>
          </w:p>
        </w:tc>
        <w:tc>
          <w:tcPr>
            <w:tcW w:w="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ind w:hanging="115"/>
              <w:jc w:val="center"/>
              <w:rPr>
                <w:sz w:val="72"/>
                <w:szCs w:val="36"/>
              </w:rPr>
            </w:pPr>
            <w:r w:rsidRPr="00084650">
              <w:rPr>
                <w:color w:val="000000"/>
                <w:kern w:val="24"/>
                <w:sz w:val="72"/>
                <w:szCs w:val="108"/>
              </w:rPr>
              <w:t>)</w:t>
            </w:r>
          </w:p>
        </w:tc>
        <w:tc>
          <w:tcPr>
            <w:tcW w:w="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72"/>
                <w:szCs w:val="36"/>
              </w:rPr>
            </w:pPr>
            <w:r w:rsidRPr="00084650">
              <w:rPr>
                <w:rFonts w:eastAsia="Calibri"/>
                <w:color w:val="000000"/>
                <w:kern w:val="24"/>
                <w:sz w:val="72"/>
                <w:szCs w:val="120"/>
              </w:rPr>
              <w:t>]</w:t>
            </w:r>
          </w:p>
        </w:tc>
        <w:tc>
          <w:tcPr>
            <w:tcW w:w="3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084650">
              <w:rPr>
                <w:bCs/>
                <w:color w:val="000000"/>
                <w:kern w:val="24"/>
                <w:sz w:val="28"/>
                <w:szCs w:val="28"/>
              </w:rPr>
              <w:t>+</w:t>
            </w:r>
          </w:p>
        </w:tc>
        <w:tc>
          <w:tcPr>
            <w:tcW w:w="1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216D60">
            <w:pPr>
              <w:spacing w:line="240" w:lineRule="auto"/>
              <w:jc w:val="center"/>
              <w:rPr>
                <w:szCs w:val="36"/>
              </w:rPr>
            </w:pPr>
            <w:r w:rsidRPr="00084650">
              <w:rPr>
                <w:bCs/>
                <w:color w:val="000000"/>
                <w:kern w:val="24"/>
                <w:szCs w:val="28"/>
              </w:rPr>
              <w:t xml:space="preserve">Supplemental Pension Fund </w:t>
            </w:r>
            <w:r w:rsidRPr="00084650">
              <w:rPr>
                <w:bCs/>
                <w:color w:val="000000"/>
                <w:kern w:val="24"/>
                <w:szCs w:val="28"/>
              </w:rPr>
              <w:br/>
              <w:t>rate*</w:t>
            </w:r>
          </w:p>
        </w:tc>
        <w:tc>
          <w:tcPr>
            <w:tcW w:w="3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50" w:rsidRPr="00084650" w:rsidRDefault="00084650" w:rsidP="00084650">
            <w:pPr>
              <w:spacing w:line="240" w:lineRule="auto"/>
              <w:ind w:hanging="115"/>
              <w:jc w:val="center"/>
              <w:rPr>
                <w:szCs w:val="36"/>
              </w:rPr>
            </w:pPr>
            <w:r w:rsidRPr="00084650">
              <w:rPr>
                <w:color w:val="000000"/>
                <w:kern w:val="24"/>
                <w:sz w:val="72"/>
                <w:szCs w:val="108"/>
              </w:rPr>
              <w:t>)</w:t>
            </w:r>
          </w:p>
        </w:tc>
      </w:tr>
    </w:tbl>
    <w:p w:rsidR="00084650" w:rsidRPr="00084650" w:rsidRDefault="00084650" w:rsidP="00084650">
      <w:r w:rsidRPr="00084650">
        <w:rPr>
          <w:i/>
          <w:iCs/>
        </w:rPr>
        <w:t>*The base rates are unique to the employer’s assigned risk classification</w:t>
      </w:r>
    </w:p>
    <w:p w:rsidR="00084650" w:rsidRPr="00084650" w:rsidRDefault="00084650" w:rsidP="00084650">
      <w:r w:rsidRPr="00084650">
        <w:rPr>
          <w:i/>
          <w:iCs/>
        </w:rPr>
        <w:t> </w:t>
      </w:r>
    </w:p>
    <w:p w:rsidR="00084650" w:rsidRPr="00084650" w:rsidRDefault="00084650" w:rsidP="00084650">
      <w:r w:rsidRPr="00084650">
        <w:rPr>
          <w:i/>
          <w:iCs/>
        </w:rPr>
        <w:t>Note: the experience factor is not applied to the Supplemental Pension Fund Base Rate.</w:t>
      </w:r>
    </w:p>
    <w:p w:rsidR="00084650" w:rsidRPr="00084650" w:rsidRDefault="00084650" w:rsidP="00084650">
      <w:r w:rsidRPr="00084650">
        <w:t> </w:t>
      </w:r>
    </w:p>
    <w:p w:rsidR="00084650" w:rsidRPr="00084650" w:rsidRDefault="00084650" w:rsidP="00084650">
      <w:r w:rsidRPr="00084650">
        <w:rPr>
          <w:b/>
          <w:bCs/>
        </w:rPr>
        <w:t>How often are the base rates and experience factors calculated?</w:t>
      </w:r>
    </w:p>
    <w:p w:rsidR="00084650" w:rsidRPr="00084650" w:rsidRDefault="00084650" w:rsidP="00084650">
      <w:r w:rsidRPr="00084650">
        <w:t xml:space="preserve">The classification base rates and individual firm experience factors are updated annually, </w:t>
      </w:r>
      <w:r w:rsidR="00BA5AC9">
        <w:t xml:space="preserve">and the </w:t>
      </w:r>
      <w:r w:rsidRPr="00084650">
        <w:t>new rates and factors effective on January 1.</w:t>
      </w:r>
    </w:p>
    <w:p w:rsidR="00084650" w:rsidRPr="00084650" w:rsidRDefault="00084650" w:rsidP="00084650">
      <w:r w:rsidRPr="00084650">
        <w:rPr>
          <w:b/>
          <w:bCs/>
        </w:rPr>
        <w:t> </w:t>
      </w:r>
    </w:p>
    <w:p w:rsidR="00084650" w:rsidRPr="00084650" w:rsidRDefault="00084650" w:rsidP="00084650">
      <w:r w:rsidRPr="00084650">
        <w:rPr>
          <w:b/>
          <w:bCs/>
        </w:rPr>
        <w:t>How are experience factors calculated?</w:t>
      </w:r>
    </w:p>
    <w:p w:rsidR="00084650" w:rsidRPr="00084650" w:rsidRDefault="00084650" w:rsidP="00084650">
      <w:r w:rsidRPr="00084650">
        <w:t xml:space="preserve">L&amp;I calculates the experience factor by comparing a firm’s workers’ compensation claim costs to the average costs of other firms with the same risk classification. If a firm is expected to have lower claims costs than the average employer it its class, then their experience factor will be less than 1.0. </w:t>
      </w:r>
    </w:p>
    <w:p w:rsidR="00084650" w:rsidRDefault="00084650" w:rsidP="00084650">
      <w:r w:rsidRPr="00084650">
        <w:t> </w:t>
      </w:r>
    </w:p>
    <w:p w:rsidR="00AB531D" w:rsidRPr="00084650" w:rsidRDefault="00AB531D" w:rsidP="00084650"/>
    <w:p w:rsidR="00084650" w:rsidRPr="00084650" w:rsidRDefault="00084650" w:rsidP="00084650">
      <w:r w:rsidRPr="00084650">
        <w:rPr>
          <w:b/>
          <w:bCs/>
        </w:rPr>
        <w:lastRenderedPageBreak/>
        <w:t>Which years of losses are used to calculate the experience factor?</w:t>
      </w:r>
    </w:p>
    <w:p w:rsidR="00084650" w:rsidRPr="00084650" w:rsidRDefault="00084650" w:rsidP="00084650">
      <w:r w:rsidRPr="00084650">
        <w:t>The experience period is the three fiscal years ending 18 months before the rating year. For example, the 201</w:t>
      </w:r>
      <w:r w:rsidR="002A1074">
        <w:t>8</w:t>
      </w:r>
      <w:r w:rsidRPr="00084650">
        <w:t xml:space="preserve"> experience factors were based on claims costs between July 1, 201</w:t>
      </w:r>
      <w:r w:rsidR="002A1074">
        <w:t>3</w:t>
      </w:r>
      <w:r w:rsidRPr="00084650">
        <w:t xml:space="preserve"> and June 30, 201</w:t>
      </w:r>
      <w:r w:rsidR="002A1074">
        <w:t>6</w:t>
      </w:r>
      <w:r w:rsidRPr="00084650">
        <w:t>.</w:t>
      </w:r>
    </w:p>
    <w:p w:rsidR="00084650" w:rsidRDefault="00084650"/>
    <w:p w:rsidR="00BA5AC9" w:rsidRPr="00084650" w:rsidRDefault="00BA5AC9" w:rsidP="00BA5AC9">
      <w:r w:rsidRPr="00084650">
        <w:rPr>
          <w:b/>
          <w:bCs/>
        </w:rPr>
        <w:t xml:space="preserve">How are </w:t>
      </w:r>
      <w:r>
        <w:rPr>
          <w:b/>
          <w:bCs/>
        </w:rPr>
        <w:t xml:space="preserve">base rates </w:t>
      </w:r>
      <w:r w:rsidR="00216D60">
        <w:rPr>
          <w:b/>
          <w:bCs/>
        </w:rPr>
        <w:t>for each risk classification</w:t>
      </w:r>
      <w:r w:rsidR="00216D60" w:rsidRPr="00084650">
        <w:rPr>
          <w:b/>
          <w:bCs/>
        </w:rPr>
        <w:t xml:space="preserve"> </w:t>
      </w:r>
      <w:r w:rsidRPr="00084650">
        <w:rPr>
          <w:b/>
          <w:bCs/>
        </w:rPr>
        <w:t>calculated?</w:t>
      </w:r>
    </w:p>
    <w:p w:rsidR="00216D60" w:rsidRDefault="00216D60">
      <w:r>
        <w:t xml:space="preserve">The base rates are calculated separately for the Accident Fund, Medical Aid Fund, and Stay at Work program in each risk classification. These base rates </w:t>
      </w:r>
      <w:r w:rsidR="00BA5AC9" w:rsidRPr="00BA5AC9">
        <w:t>reflect the estimated cost of providing insurance for work in that risk classification.</w:t>
      </w:r>
    </w:p>
    <w:p w:rsidR="00216D60" w:rsidRDefault="00216D60"/>
    <w:p w:rsidR="00BA5AC9" w:rsidRPr="00216D60" w:rsidRDefault="00216D60">
      <w:r>
        <w:t>T</w:t>
      </w:r>
      <w:r w:rsidR="00BA5AC9" w:rsidRPr="00BA5AC9">
        <w:t>he Supplemental Pension Fund hourly rate is the same for all classes rated per hour worked and is not related to the risk in the class.</w:t>
      </w:r>
      <w:r>
        <w:t xml:space="preserve"> </w:t>
      </w:r>
      <w:r w:rsidRPr="00216D60">
        <w:rPr>
          <w:color w:val="000000"/>
          <w:shd w:val="clear" w:color="auto" w:fill="FFFFFF"/>
        </w:rPr>
        <w:t>By statute the Supplemental Pension Fund is allowed to collect only enough premium to make the current COLA payments for new and past claims.</w:t>
      </w:r>
    </w:p>
    <w:p w:rsidR="00BA5AC9" w:rsidRPr="00216D60" w:rsidRDefault="00BA5AC9"/>
    <w:p w:rsidR="00BA5AC9" w:rsidRPr="00084650" w:rsidRDefault="00BA5AC9" w:rsidP="00BA5AC9">
      <w:r w:rsidRPr="00084650">
        <w:rPr>
          <w:b/>
          <w:bCs/>
        </w:rPr>
        <w:t xml:space="preserve">Which years of losses are used to calculate the </w:t>
      </w:r>
      <w:r>
        <w:rPr>
          <w:b/>
          <w:bCs/>
        </w:rPr>
        <w:t>base rates</w:t>
      </w:r>
      <w:r w:rsidRPr="00084650">
        <w:rPr>
          <w:b/>
          <w:bCs/>
        </w:rPr>
        <w:t>?</w:t>
      </w:r>
    </w:p>
    <w:p w:rsidR="00BA5AC9" w:rsidRDefault="000570AE">
      <w:r>
        <w:t>Base rates are calculated using c</w:t>
      </w:r>
      <w:r w:rsidR="00BA5AC9">
        <w:t xml:space="preserve">laim costs and reported </w:t>
      </w:r>
      <w:r w:rsidR="00216D60">
        <w:t>hours</w:t>
      </w:r>
      <w:r w:rsidR="00BA5AC9">
        <w:t xml:space="preserve"> from the five fiscal years ending 1</w:t>
      </w:r>
      <w:r w:rsidR="00216D60">
        <w:t>8 months before the rating</w:t>
      </w:r>
      <w:r>
        <w:t xml:space="preserve"> year.</w:t>
      </w:r>
      <w:r w:rsidR="002A1074">
        <w:t xml:space="preserve"> For example, the 2018</w:t>
      </w:r>
      <w:r w:rsidR="00BA5AC9">
        <w:t xml:space="preserve"> base </w:t>
      </w:r>
      <w:r w:rsidR="00216D60">
        <w:t>rates were based on claim co</w:t>
      </w:r>
      <w:r w:rsidR="002A1074">
        <w:t>sts between July 1, 2011 and June 30, 2016</w:t>
      </w:r>
      <w:bookmarkStart w:id="0" w:name="_GoBack"/>
      <w:bookmarkEnd w:id="0"/>
    </w:p>
    <w:sectPr w:rsidR="00BA5AC9" w:rsidSect="00770F8E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FB" w:rsidRDefault="009A45FB" w:rsidP="009A45FB">
      <w:pPr>
        <w:spacing w:line="240" w:lineRule="auto"/>
      </w:pPr>
      <w:r>
        <w:separator/>
      </w:r>
    </w:p>
  </w:endnote>
  <w:endnote w:type="continuationSeparator" w:id="0">
    <w:p w:rsidR="009A45FB" w:rsidRDefault="009A45FB" w:rsidP="009A4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5FB" w:rsidRDefault="009A45FB" w:rsidP="009A45FB">
    <w:pPr>
      <w:pStyle w:val="Footer"/>
      <w:jc w:val="right"/>
    </w:pPr>
    <w:r>
      <w:t>Department of Labor &amp; Industries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3D7913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3D7913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FB" w:rsidRDefault="009A45FB" w:rsidP="009A45FB">
      <w:pPr>
        <w:spacing w:line="240" w:lineRule="auto"/>
      </w:pPr>
      <w:r>
        <w:separator/>
      </w:r>
    </w:p>
  </w:footnote>
  <w:footnote w:type="continuationSeparator" w:id="0">
    <w:p w:rsidR="009A45FB" w:rsidRDefault="009A45FB" w:rsidP="009A45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51"/>
    <w:rsid w:val="000570AE"/>
    <w:rsid w:val="000817D5"/>
    <w:rsid w:val="00084650"/>
    <w:rsid w:val="001B3961"/>
    <w:rsid w:val="00216D60"/>
    <w:rsid w:val="00250989"/>
    <w:rsid w:val="002A1074"/>
    <w:rsid w:val="002B4B43"/>
    <w:rsid w:val="002D02C1"/>
    <w:rsid w:val="002E0B51"/>
    <w:rsid w:val="002F07EB"/>
    <w:rsid w:val="00320A94"/>
    <w:rsid w:val="003C4300"/>
    <w:rsid w:val="003D7913"/>
    <w:rsid w:val="005D3F3F"/>
    <w:rsid w:val="006F320A"/>
    <w:rsid w:val="00770F8E"/>
    <w:rsid w:val="0089567B"/>
    <w:rsid w:val="008E16EE"/>
    <w:rsid w:val="00916833"/>
    <w:rsid w:val="00927AC0"/>
    <w:rsid w:val="009422AB"/>
    <w:rsid w:val="00957B53"/>
    <w:rsid w:val="009A45FB"/>
    <w:rsid w:val="00AB531D"/>
    <w:rsid w:val="00AE349F"/>
    <w:rsid w:val="00BA5AC9"/>
    <w:rsid w:val="00D02157"/>
    <w:rsid w:val="00D62B43"/>
    <w:rsid w:val="00F721E6"/>
    <w:rsid w:val="00F9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BEF1"/>
  <w15:docId w15:val="{1989A5A6-C431-4348-A8E3-F1257EBD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67B"/>
    <w:rPr>
      <w:rFonts w:eastAsiaTheme="minorHAnsi"/>
      <w:color w:val="000000"/>
    </w:rPr>
  </w:style>
  <w:style w:type="paragraph" w:styleId="ListParagraph">
    <w:name w:val="List Paragraph"/>
    <w:basedOn w:val="Normal"/>
    <w:uiPriority w:val="34"/>
    <w:qFormat/>
    <w:rsid w:val="00895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0B5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6D60"/>
  </w:style>
  <w:style w:type="character" w:styleId="Strong">
    <w:name w:val="Strong"/>
    <w:basedOn w:val="DefaultParagraphFont"/>
    <w:uiPriority w:val="22"/>
    <w:qFormat/>
    <w:rsid w:val="00216D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5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FB"/>
  </w:style>
  <w:style w:type="paragraph" w:styleId="Footer">
    <w:name w:val="footer"/>
    <w:basedOn w:val="Normal"/>
    <w:link w:val="FooterChar"/>
    <w:uiPriority w:val="99"/>
    <w:unhideWhenUsed/>
    <w:rsid w:val="009A45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ni.wa.gov/Rat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2992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 and Industries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Quichocho, Anna (LNI)</dc:creator>
  <cp:lastModifiedBy>Rohr, Karissa C (LNI)</cp:lastModifiedBy>
  <cp:revision>2</cp:revision>
  <cp:lastPrinted>2016-09-06T20:29:00Z</cp:lastPrinted>
  <dcterms:created xsi:type="dcterms:W3CDTF">2017-09-27T15:21:00Z</dcterms:created>
  <dcterms:modified xsi:type="dcterms:W3CDTF">2017-09-27T15:21:00Z</dcterms:modified>
</cp:coreProperties>
</file>