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12.01.0</w:t>
      </w:r>
      <w:r>
        <w:rPr>
          <w:rFonts w:ascii="Arial"/>
          <w:b w:val="1"/>
          <w:bCs w:val="1"/>
          <w:sz w:val="24"/>
          <w:szCs w:val="24"/>
          <w:u w:color="000000"/>
          <w:rtl w:val="0"/>
          <w:lang w:val="en-US"/>
        </w:rPr>
        <w:t>5</w:t>
      </w:r>
      <w:r>
        <w:rPr>
          <w:rFonts w:ascii="Arial"/>
          <w:b w:val="1"/>
          <w:bCs w:val="1"/>
          <w:sz w:val="24"/>
          <w:szCs w:val="24"/>
          <w:u w:color="000000"/>
          <w:rtl w:val="0"/>
          <w:lang w:val="en-US"/>
        </w:rPr>
        <w:t xml:space="preserve"> HEALTH AND SAFETY COMMITTEE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r>
        <w:rPr>
          <w:rFonts w:ascii="Arial" w:cs="Arial" w:hAnsi="Arial" w:eastAsia="Arial"/>
          <w:b w:val="1"/>
          <w:bCs w:val="1"/>
          <w:sz w:val="24"/>
          <w:szCs w:val="24"/>
          <w:u w:color="000000"/>
          <w:rtl w:val="0"/>
          <w:lang w:val="en-US"/>
        </w:rPr>
        <w:tab/>
        <w:tab/>
        <w:t>Policy 1.1.3</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tab/>
      </w:r>
      <w:r>
        <w:rPr>
          <w:rFonts w:ascii="Arial"/>
          <w:sz w:val="24"/>
          <w:szCs w:val="24"/>
          <w:u w:color="000000"/>
          <w:rtl w:val="0"/>
          <w:lang w:val="en-US"/>
        </w:rPr>
        <w:t xml:space="preserve">The XXXXX will establish a Health and Safety committee to serve in an advisory capacity to the fire chief.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t>The Health and Safety Committee will formalize an accident prevention program that will recognize and eliminate the cause of accidents.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w:t>
      </w:r>
      <w:r>
        <w:rPr>
          <w:rFonts w:ascii="Arial" w:cs="Arial" w:hAnsi="Arial" w:eastAsia="Arial"/>
          <w:sz w:val="24"/>
          <w:szCs w:val="24"/>
          <w:u w:color="000000"/>
          <w:rtl w:val="0"/>
          <w:lang w:val="en-US"/>
        </w:rPr>
        <w:tab/>
        <w:t>The frequency of Health and Safety meetings shall be determined by the Health and Safety committee, but shall not be less than one hour per calendar quarter Special meetings may be held at the request of either management or members as specified in the Health and Safety Committee's protocols.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w:t>
        <w:tab/>
      </w:r>
      <w:r>
        <w:rPr>
          <w:rFonts w:ascii="Arial"/>
          <w:sz w:val="24"/>
          <w:szCs w:val="24"/>
          <w:u w:color="000000"/>
          <w:rtl w:val="0"/>
          <w:lang w:val="en-US"/>
        </w:rPr>
        <w:t>Minutes shall be taken of all Health and Safety meetings. After review by the chief or his/her designee the minutes shall be conspicuously posted at all stations.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2.5</w:t>
      </w:r>
      <w:r>
        <w:rPr>
          <w:rFonts w:ascii="Arial" w:cs="Arial" w:hAnsi="Arial" w:eastAsia="Arial"/>
          <w:sz w:val="24"/>
          <w:szCs w:val="24"/>
          <w:u w:color="000000"/>
          <w:rtl w:val="0"/>
          <w:lang w:val="en-US"/>
        </w:rPr>
        <w:tab/>
        <w:t>The number of employer-selected members shall not exceed the number of employee-elected members.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b w:val="1"/>
          <w:bCs w:val="1"/>
          <w:sz w:val="24"/>
          <w:szCs w:val="24"/>
          <w:u w:color="000000"/>
          <w:rtl w:val="0"/>
          <w:lang w:val="en-US"/>
        </w:rPr>
        <w:t>2.5.1</w:t>
      </w:r>
      <w:r>
        <w:rPr>
          <w:rFonts w:ascii="Arial" w:cs="Arial" w:hAnsi="Arial" w:eastAsia="Arial"/>
          <w:sz w:val="24"/>
          <w:szCs w:val="24"/>
          <w:u w:color="000000"/>
          <w:rtl w:val="0"/>
          <w:lang w:val="en-US"/>
        </w:rPr>
        <w:tab/>
        <w:t>Employee members shall be elected by their peers.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2.6</w:t>
      </w:r>
      <w:r>
        <w:rPr>
          <w:rFonts w:ascii="Arial" w:cs="Arial" w:hAnsi="Arial" w:eastAsia="Arial"/>
          <w:sz w:val="24"/>
          <w:szCs w:val="24"/>
          <w:u w:color="000000"/>
          <w:rtl w:val="0"/>
          <w:lang w:val="en-US"/>
        </w:rPr>
        <w:tab/>
        <w:t>Employee submitted written suggestions or complaints shall be considered. Action recommendations by the committee shall be transmitted in writing to the fire chief. The chief or his/her designated agent will reply to the submitter.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b w:val="1"/>
          <w:bCs w:val="1"/>
          <w:sz w:val="24"/>
          <w:szCs w:val="24"/>
          <w:u w:color="000000"/>
          <w:rtl w:val="0"/>
          <w:lang w:val="en-US"/>
        </w:rPr>
        <w:t>2.6.1</w:t>
      </w:r>
      <w:r>
        <w:rPr>
          <w:rFonts w:ascii="Arial" w:cs="Arial" w:hAnsi="Arial" w:eastAsia="Arial"/>
          <w:sz w:val="24"/>
          <w:szCs w:val="24"/>
          <w:u w:color="000000"/>
          <w:rtl w:val="0"/>
          <w:lang w:val="en-US"/>
        </w:rPr>
        <w:tab/>
        <w:t>The Chief or designee will respond to written suggestions or complaints within 21 days of receipt.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t>The Health and Safety Committee shall:</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sz w:val="24"/>
          <w:szCs w:val="24"/>
          <w:u w:color="000000"/>
          <w:rtl w:val="0"/>
          <w:lang w:val="en-US"/>
        </w:rPr>
      </w:pP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Identify situations that may be a source of danger to members.</w:t>
      </w:r>
    </w:p>
    <w:p>
      <w:pPr>
        <w:pStyle w:val="Body"/>
        <w:tabs>
          <w:tab w:val="left"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Investigate complaints of violations of the Health and Safety Policy.</w:t>
      </w:r>
    </w:p>
    <w:p>
      <w:pPr>
        <w:pStyle w:val="Body"/>
        <w:tabs>
          <w:tab w:val="left"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Make recommendations to the Chief of the Department on matters reported to the committee and on rules and regulations promulgated by outside regulatory agencies.</w:t>
      </w:r>
    </w:p>
    <w:p>
      <w:pPr>
        <w:pStyle w:val="Body"/>
        <w:tabs>
          <w:tab w:val="left"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Evaluate Health and Safety rules and regulations established by The XXXXX to comply with State mandates.</w:t>
      </w:r>
    </w:p>
    <w:p>
      <w:pPr>
        <w:pStyle w:val="Body"/>
        <w:tabs>
          <w:tab w:val="left"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Review the Annual Injury and Illness report for trends.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val="single" w:color="000000"/>
          <w:rtl w:val="0"/>
          <w:lang w:val="en-US"/>
        </w:rPr>
      </w:pPr>
      <w:r>
        <w:rPr>
          <w:rFonts w:ascii="Arial" w:cs="Arial" w:hAnsi="Arial" w:eastAsia="Arial"/>
          <w:b w:val="1"/>
          <w:bCs w:val="1"/>
          <w:sz w:val="24"/>
          <w:szCs w:val="24"/>
          <w:u w:val="single" w:color="000000"/>
          <w:rtl w:val="0"/>
          <w:lang w:val="en-US"/>
        </w:rPr>
        <w:tab/>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val="single"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tl w:val="0"/>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r>
        <w:rPr>
          <w:rFonts w:ascii="Arial" w:cs="Arial" w:hAnsi="Arial" w:eastAsia="Arial"/>
          <w:b w:val="1"/>
          <w:bCs w:val="1"/>
          <w:sz w:val="24"/>
          <w:szCs w:val="24"/>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2/20/15</w:t>
    </w:r>
    <w:r>
      <w:rPr>
        <w:i w:val="1"/>
        <w:iCs w:val="1"/>
        <w:sz w:val="20"/>
        <w:szCs w:val="20"/>
      </w:rPr>
      <w:tab/>
      <w:tab/>
    </w:r>
    <w:r>
      <w:rPr>
        <w:i w:val="1"/>
        <w:iCs w:val="1"/>
        <w:sz w:val="20"/>
        <w:szCs w:val="20"/>
        <w:rtl w:val="0"/>
        <w:lang w:val="en-US"/>
      </w:rPr>
      <w:t>12.01.05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low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abstractNum w:abstractNumId="1">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low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ist 0">
    <w:name w:val="List 0"/>
    <w:basedOn w:val="Imported Style 3"/>
    <w:next w:val="List 0"/>
    <w:pPr>
      <w:numPr>
        <w:numId w:val="1"/>
      </w:numPr>
    </w:pPr>
  </w:style>
  <w:style w:type="numbering" w:styleId="Imported Style 3">
    <w:name w:val="Imported Style 3"/>
    <w:next w:val="Imported Style 3"/>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