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12.02.0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3.02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 xml:space="preserve"> BODY ARMOR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REFERENCE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WAC 296-305-02012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POLICY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Body armor when provided shall be used by members during operations that present a hazard from ballistic weapons fire or similar risk, whether real or potential, for their protection.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2.2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Body armor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Arial"/>
          <w:sz w:val="24"/>
          <w:szCs w:val="24"/>
          <w:u w:color="000000"/>
          <w:rtl w:val="0"/>
          <w:lang w:val="en-US"/>
        </w:rPr>
        <w:t>shall be used, maintained, cleaned and stored in compliance with the manufacturer</w:t>
      </w:r>
      <w:r>
        <w:rPr>
          <w:rFonts w:hAnsi="Arial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Arial"/>
          <w:sz w:val="24"/>
          <w:szCs w:val="24"/>
          <w:u w:color="000000"/>
          <w:rtl w:val="0"/>
          <w:lang w:val="en-US"/>
        </w:rPr>
        <w:t>s recommendations.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2.3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All protective body armor shall meet or exceed National Institute of Justice NIF 0101. 04; Threat Level II requirements or the June 2001 revision, NIJ 0101.04A.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2.4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Body armor shall be correctly fitted following the manufacturer's recommendations and shall not be used beyond the manufacturer's warranty.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RESPONSIBILITY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VARIABLE shall be responsible for managing the body armor program.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DEFINITIONS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GUIDELINES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6.0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ADDITIONAL REFERENCES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7.0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APPENDIX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N/A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sz w:val="19"/>
          <w:szCs w:val="19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