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Arial" w:cs="Arial" w:hAnsi="Arial" w:eastAsia="Arial"/>
          <w:b w:val="1"/>
          <w:bCs w:val="1"/>
          <w:sz w:val="24"/>
          <w:szCs w:val="24"/>
        </w:rPr>
      </w:pPr>
      <w:r>
        <w:rPr>
          <w:rFonts w:ascii="Arial"/>
          <w:b w:val="1"/>
          <w:bCs w:val="1"/>
          <w:sz w:val="24"/>
          <w:szCs w:val="24"/>
          <w:rtl w:val="0"/>
        </w:rPr>
        <w:t>12.0</w:t>
      </w:r>
      <w:r>
        <w:rPr>
          <w:rFonts w:ascii="Arial"/>
          <w:b w:val="1"/>
          <w:bCs w:val="1"/>
          <w:sz w:val="24"/>
          <w:szCs w:val="24"/>
          <w:rtl w:val="0"/>
          <w:lang w:val="en-US"/>
        </w:rPr>
        <w:t>5</w:t>
      </w:r>
      <w:r>
        <w:rPr>
          <w:rFonts w:ascii="Arial"/>
          <w:b w:val="1"/>
          <w:bCs w:val="1"/>
          <w:sz w:val="24"/>
          <w:szCs w:val="24"/>
          <w:rtl w:val="0"/>
        </w:rPr>
        <w:t>.0</w:t>
      </w:r>
      <w:r>
        <w:rPr>
          <w:rFonts w:ascii="Arial"/>
          <w:b w:val="1"/>
          <w:bCs w:val="1"/>
          <w:sz w:val="24"/>
          <w:szCs w:val="24"/>
          <w:rtl w:val="0"/>
          <w:lang w:val="en-US"/>
        </w:rPr>
        <w:t>2</w:t>
      </w:r>
      <w:r>
        <w:rPr>
          <w:rFonts w:ascii="Arial" w:cs="Arial" w:hAnsi="Arial" w:eastAsia="Arial"/>
          <w:b w:val="1"/>
          <w:bCs w:val="1"/>
          <w:sz w:val="24"/>
          <w:szCs w:val="24"/>
          <w:rtl w:val="0"/>
        </w:rPr>
        <w:tab/>
        <w:t xml:space="preserve">FIRE APPARATUS </w:t>
      </w:r>
      <w:r>
        <w:rPr>
          <w:rFonts w:ascii="Arial"/>
          <w:b w:val="1"/>
          <w:bCs w:val="1"/>
          <w:sz w:val="24"/>
          <w:szCs w:val="24"/>
          <w:rtl w:val="0"/>
          <w:lang w:val="en-US"/>
        </w:rPr>
        <w:t xml:space="preserve">EQUIPMENT  PURCHASE, </w:t>
      </w:r>
      <w:r>
        <w:rPr>
          <w:rFonts w:ascii="Arial"/>
          <w:b w:val="1"/>
          <w:bCs w:val="1"/>
          <w:sz w:val="24"/>
          <w:szCs w:val="24"/>
          <w:rtl w:val="0"/>
        </w:rPr>
        <w:t>MAINTENANCE</w:t>
      </w:r>
      <w:r>
        <w:rPr>
          <w:rFonts w:ascii="Arial"/>
          <w:b w:val="1"/>
          <w:bCs w:val="1"/>
          <w:sz w:val="24"/>
          <w:szCs w:val="24"/>
          <w:rtl w:val="0"/>
          <w:lang w:val="en-US"/>
        </w:rPr>
        <w:t>,</w:t>
      </w:r>
      <w:r>
        <w:rPr>
          <w:rFonts w:ascii="Arial"/>
          <w:b w:val="1"/>
          <w:bCs w:val="1"/>
          <w:sz w:val="24"/>
          <w:szCs w:val="24"/>
          <w:rtl w:val="0"/>
        </w:rPr>
        <w:t xml:space="preserve"> AND REPAIR</w:t>
      </w:r>
    </w:p>
    <w:p>
      <w:pPr>
        <w:pStyle w:val="Body"/>
        <w:rPr>
          <w:rFonts w:ascii="Arial" w:cs="Arial" w:hAnsi="Arial" w:eastAsia="Arial"/>
          <w:b w:val="1"/>
          <w:bCs w:val="1"/>
          <w:sz w:val="24"/>
          <w:szCs w:val="24"/>
        </w:rPr>
      </w:pPr>
    </w:p>
    <w:p>
      <w:pPr>
        <w:pStyle w:val="Body"/>
        <w:rPr>
          <w:rFonts w:ascii="Arial" w:cs="Arial" w:hAnsi="Arial" w:eastAsia="Arial"/>
          <w:sz w:val="24"/>
          <w:szCs w:val="24"/>
        </w:rPr>
      </w:pPr>
      <w:r>
        <w:rPr>
          <w:rFonts w:ascii="Arial"/>
          <w:b w:val="1"/>
          <w:bCs w:val="1"/>
          <w:sz w:val="24"/>
          <w:szCs w:val="24"/>
          <w:rtl w:val="0"/>
        </w:rPr>
        <w:t>1.0</w:t>
        <w:tab/>
      </w:r>
      <w:r>
        <w:rPr>
          <w:rFonts w:ascii="Arial"/>
          <w:b w:val="1"/>
          <w:bCs w:val="1"/>
          <w:sz w:val="24"/>
          <w:szCs w:val="24"/>
          <w:u w:val="single"/>
          <w:rtl w:val="0"/>
        </w:rPr>
        <w:t xml:space="preserve">REFERENCE </w:t>
      </w:r>
    </w:p>
    <w:p>
      <w:pPr>
        <w:pStyle w:val="Body"/>
        <w:rPr>
          <w:rFonts w:ascii="Arial" w:cs="Arial" w:hAnsi="Arial" w:eastAsia="Arial"/>
          <w:sz w:val="24"/>
          <w:szCs w:val="24"/>
        </w:rPr>
      </w:pPr>
    </w:p>
    <w:p>
      <w:pPr>
        <w:pStyle w:val="Body"/>
        <w:rPr>
          <w:rFonts w:ascii="Arial" w:cs="Arial" w:hAnsi="Arial" w:eastAsia="Arial"/>
          <w:sz w:val="24"/>
          <w:szCs w:val="24"/>
          <w:rtl w:val="0"/>
        </w:rPr>
      </w:pPr>
      <w:r>
        <w:rPr>
          <w:rFonts w:ascii="Arial"/>
          <w:sz w:val="24"/>
          <w:szCs w:val="24"/>
          <w:rtl w:val="0"/>
        </w:rPr>
        <w:t>WAC 296-305-0450</w:t>
      </w:r>
      <w:r>
        <w:rPr>
          <w:rFonts w:ascii="Arial"/>
          <w:sz w:val="24"/>
          <w:szCs w:val="24"/>
          <w:rtl w:val="0"/>
          <w:lang w:val="en-US"/>
        </w:rPr>
        <w:t>1</w:t>
      </w:r>
    </w:p>
    <w:p>
      <w:pPr>
        <w:pStyle w:val="Body"/>
        <w:rPr>
          <w:rFonts w:ascii="Arial" w:cs="Arial" w:hAnsi="Arial" w:eastAsia="Arial"/>
          <w:sz w:val="24"/>
          <w:szCs w:val="24"/>
        </w:rPr>
      </w:pPr>
      <w:r>
        <w:rPr>
          <w:rFonts w:ascii="Arial"/>
          <w:sz w:val="24"/>
          <w:szCs w:val="24"/>
          <w:rtl w:val="0"/>
        </w:rPr>
        <w:t>WAC 296-305-04507</w:t>
      </w:r>
    </w:p>
    <w:p>
      <w:pPr>
        <w:pStyle w:val="Body"/>
        <w:rPr>
          <w:rFonts w:ascii="Arial" w:cs="Arial" w:hAnsi="Arial" w:eastAsia="Arial"/>
          <w:sz w:val="24"/>
          <w:szCs w:val="24"/>
        </w:rPr>
      </w:pPr>
      <w:r>
        <w:rPr>
          <w:rFonts w:ascii="Arial" w:cs="Arial" w:hAnsi="Arial" w:eastAsia="Arial"/>
          <w:sz w:val="24"/>
          <w:szCs w:val="24"/>
          <w:rtl w:val="0"/>
        </w:rPr>
        <w:tab/>
        <w:t xml:space="preserve"> </w:t>
      </w:r>
    </w:p>
    <w:p>
      <w:pPr>
        <w:pStyle w:val="Body"/>
        <w:rPr>
          <w:rFonts w:ascii="Arial" w:cs="Arial" w:hAnsi="Arial" w:eastAsia="Arial"/>
          <w:b w:val="1"/>
          <w:bCs w:val="1"/>
          <w:sz w:val="24"/>
          <w:szCs w:val="24"/>
        </w:rPr>
      </w:pPr>
      <w:r>
        <w:rPr>
          <w:rFonts w:ascii="Arial"/>
          <w:b w:val="1"/>
          <w:bCs w:val="1"/>
          <w:sz w:val="24"/>
          <w:szCs w:val="24"/>
          <w:rtl w:val="0"/>
        </w:rPr>
        <w:t>2.0</w:t>
        <w:tab/>
      </w:r>
      <w:r>
        <w:rPr>
          <w:rFonts w:ascii="Arial"/>
          <w:b w:val="1"/>
          <w:bCs w:val="1"/>
          <w:sz w:val="24"/>
          <w:szCs w:val="24"/>
          <w:u w:val="single"/>
          <w:rtl w:val="0"/>
        </w:rPr>
        <w:t>POLICY</w:t>
      </w:r>
    </w:p>
    <w:p>
      <w:pPr>
        <w:pStyle w:val="Body"/>
        <w:rPr>
          <w:rFonts w:ascii="Arial" w:cs="Arial" w:hAnsi="Arial" w:eastAsia="Arial"/>
          <w:b w:val="1"/>
          <w:bCs w:val="1"/>
          <w:sz w:val="24"/>
          <w:szCs w:val="24"/>
        </w:rPr>
      </w:pPr>
    </w:p>
    <w:p>
      <w:pPr>
        <w:pStyle w:val="Body"/>
        <w:rPr>
          <w:rFonts w:ascii="Arial" w:cs="Arial" w:hAnsi="Arial" w:eastAsia="Arial"/>
          <w:sz w:val="24"/>
          <w:szCs w:val="24"/>
          <w:rtl w:val="0"/>
        </w:rPr>
      </w:pPr>
      <w:r>
        <w:rPr>
          <w:rFonts w:ascii="Arial"/>
          <w:b w:val="1"/>
          <w:bCs w:val="1"/>
          <w:sz w:val="24"/>
          <w:szCs w:val="24"/>
          <w:rtl w:val="0"/>
        </w:rPr>
        <w:t>2.1</w:t>
      </w:r>
      <w:r>
        <w:rPr>
          <w:rFonts w:ascii="Arial" w:cs="Arial" w:hAnsi="Arial" w:eastAsia="Arial"/>
          <w:sz w:val="24"/>
          <w:szCs w:val="24"/>
          <w:rtl w:val="0"/>
          <w:lang w:val="en-US"/>
        </w:rPr>
        <w:tab/>
        <w:t>All new fire apparatus with the exception of specialized equipment, shall conform to the following minimum safety standards contained in the 2009 edition of NFPA 1901, Standard for Automotive Fire Apparatus, or the 2006 Edition of NFPA 1906, Standard for Wildland Fire Apparatus.</w:t>
      </w:r>
    </w:p>
    <w:p>
      <w:pPr>
        <w:pStyle w:val="Body"/>
        <w:rPr>
          <w:rFonts w:ascii="Arial" w:cs="Arial" w:hAnsi="Arial" w:eastAsia="Arial"/>
          <w:sz w:val="24"/>
          <w:szCs w:val="24"/>
          <w:rtl w:val="0"/>
        </w:rPr>
      </w:pPr>
    </w:p>
    <w:p>
      <w:pPr>
        <w:pStyle w:val="Body"/>
        <w:rPr>
          <w:rFonts w:ascii="Arial" w:cs="Arial" w:hAnsi="Arial" w:eastAsia="Arial"/>
          <w:sz w:val="24"/>
          <w:szCs w:val="24"/>
          <w:rtl w:val="0"/>
        </w:rPr>
      </w:pPr>
      <w:r>
        <w:rPr>
          <w:rFonts w:ascii="Arial"/>
          <w:b w:val="1"/>
          <w:bCs w:val="1"/>
          <w:sz w:val="24"/>
          <w:szCs w:val="24"/>
          <w:rtl w:val="0"/>
          <w:lang w:val="en-US"/>
        </w:rPr>
        <w:t>2.2</w:t>
      </w:r>
      <w:r>
        <w:rPr>
          <w:rFonts w:ascii="Arial" w:cs="Arial" w:hAnsi="Arial" w:eastAsia="Arial"/>
          <w:sz w:val="24"/>
          <w:szCs w:val="24"/>
          <w:rtl w:val="0"/>
        </w:rPr>
        <w:tab/>
      </w:r>
      <w:r>
        <w:rPr>
          <w:rFonts w:ascii="Arial"/>
          <w:sz w:val="24"/>
          <w:szCs w:val="24"/>
          <w:rtl w:val="0"/>
          <w:lang w:val="en-US"/>
        </w:rPr>
        <w:t>When a fire apparatus is found to be in an unsafe condition, it shall be reported immediately to the officer on duty. If in the officer's determination, the apparatus cannot be used in a safe manner, it shall be taken out of service until it has been restored to a safe operating condition.</w:t>
      </w:r>
    </w:p>
    <w:p>
      <w:pPr>
        <w:pStyle w:val="Body"/>
        <w:rPr>
          <w:rFonts w:ascii="Arial" w:cs="Arial" w:hAnsi="Arial" w:eastAsia="Arial"/>
          <w:sz w:val="24"/>
          <w:szCs w:val="24"/>
          <w:rtl w:val="0"/>
        </w:rPr>
      </w:pPr>
    </w:p>
    <w:p>
      <w:pPr>
        <w:pStyle w:val="Body"/>
        <w:rPr>
          <w:sz w:val="24"/>
          <w:szCs w:val="24"/>
        </w:rPr>
      </w:pPr>
      <w:r>
        <w:rPr>
          <w:rFonts w:ascii="Arial"/>
          <w:b w:val="1"/>
          <w:bCs w:val="1"/>
          <w:sz w:val="24"/>
          <w:szCs w:val="24"/>
          <w:rtl w:val="0"/>
          <w:lang w:val="en-US"/>
        </w:rPr>
        <w:t>2.3</w:t>
      </w:r>
      <w:r>
        <w:rPr>
          <w:rFonts w:ascii="Arial" w:cs="Arial" w:hAnsi="Arial" w:eastAsia="Arial"/>
          <w:sz w:val="24"/>
          <w:szCs w:val="24"/>
          <w:rtl w:val="0"/>
        </w:rPr>
        <w:tab/>
      </w:r>
      <w:r>
        <w:rPr>
          <w:sz w:val="24"/>
          <w:szCs w:val="24"/>
          <w:rtl w:val="0"/>
          <w:lang w:val="en-US"/>
        </w:rPr>
        <w:t>Used fire apparatus, purchased after the effective date of this rule, weighing 10,000 pounds or more shall conform with the following U.S. Department of Transportation standards, when applicable:</w:t>
      </w:r>
    </w:p>
    <w:p>
      <w:pPr>
        <w:pStyle w:val="Body"/>
        <w:ind w:left="360"/>
        <w:rPr>
          <w:sz w:val="24"/>
          <w:szCs w:val="24"/>
        </w:rPr>
      </w:pPr>
      <w:r>
        <w:rPr>
          <w:sz w:val="24"/>
          <w:szCs w:val="24"/>
          <w:rtl w:val="0"/>
        </w:rPr>
        <w:t>(a) 49 C.F.R. Ch. V (10-03 edition) 571.121 "Air brake systems";</w:t>
      </w:r>
    </w:p>
    <w:p>
      <w:pPr>
        <w:pStyle w:val="Body"/>
        <w:ind w:left="360"/>
        <w:rPr>
          <w:sz w:val="24"/>
          <w:szCs w:val="24"/>
        </w:rPr>
      </w:pPr>
      <w:r>
        <w:rPr>
          <w:sz w:val="24"/>
          <w:szCs w:val="24"/>
          <w:rtl w:val="0"/>
          <w:lang w:val="en-US"/>
        </w:rPr>
        <w:t>(b) 49 C.F.R. Ch. V (10-03 edition) 571.106 "Brake hoses";</w:t>
      </w:r>
    </w:p>
    <w:p>
      <w:pPr>
        <w:pStyle w:val="Body"/>
        <w:ind w:left="360"/>
        <w:rPr>
          <w:sz w:val="24"/>
          <w:szCs w:val="24"/>
        </w:rPr>
      </w:pPr>
      <w:r>
        <w:rPr>
          <w:sz w:val="24"/>
          <w:szCs w:val="24"/>
          <w:rtl w:val="0"/>
          <w:lang w:val="en-US"/>
        </w:rPr>
        <w:t>(c) 49 C.F.R. Ch. V (10-03 edition) 571-103 "Hydraulic brake systems."</w:t>
      </w:r>
    </w:p>
    <w:p>
      <w:pPr>
        <w:pStyle w:val="Body"/>
        <w:rPr>
          <w:sz w:val="24"/>
          <w:szCs w:val="24"/>
        </w:rPr>
      </w:pPr>
    </w:p>
    <w:p>
      <w:pPr>
        <w:pStyle w:val="Body"/>
        <w:rPr>
          <w:sz w:val="24"/>
          <w:szCs w:val="24"/>
        </w:rPr>
      </w:pPr>
      <w:r>
        <w:rPr>
          <w:b w:val="1"/>
          <w:bCs w:val="1"/>
          <w:sz w:val="24"/>
          <w:szCs w:val="24"/>
          <w:rtl w:val="0"/>
          <w:lang w:val="en-US"/>
        </w:rPr>
        <w:t>2.4</w:t>
      </w:r>
      <w:r>
        <w:rPr>
          <w:sz w:val="24"/>
          <w:szCs w:val="24"/>
        </w:rPr>
        <w:tab/>
      </w:r>
      <w:r>
        <w:rPr>
          <w:sz w:val="24"/>
          <w:szCs w:val="24"/>
          <w:rtl w:val="0"/>
          <w:lang w:val="en-US"/>
        </w:rPr>
        <w:t xml:space="preserve"> Employers acquiring used apparatus or used equipment shall not be required to bring it under a more stringent code than the one in force at the time the apparatus was manufactured. However, such vehicle must meet applicable U.S. Department of Transportation standards and chapter </w:t>
      </w:r>
      <w:hyperlink r:id="rId4" w:history="1">
        <w:r>
          <w:rPr>
            <w:rStyle w:val="Hyperlink.0"/>
            <w:color w:val="2a674c"/>
            <w:sz w:val="24"/>
            <w:szCs w:val="24"/>
            <w:u w:val="single" w:color="2a674c"/>
            <w:rtl w:val="0"/>
          </w:rPr>
          <w:t>296-865</w:t>
        </w:r>
      </w:hyperlink>
      <w:r>
        <w:rPr>
          <w:sz w:val="24"/>
          <w:szCs w:val="24"/>
          <w:rtl w:val="0"/>
          <w:lang w:val="en-US"/>
        </w:rPr>
        <w:t xml:space="preserve"> WAC, Motor vehicles.</w:t>
      </w:r>
    </w:p>
    <w:p>
      <w:pPr>
        <w:pStyle w:val="Body"/>
        <w:rPr>
          <w:sz w:val="24"/>
          <w:szCs w:val="24"/>
        </w:rPr>
      </w:pPr>
    </w:p>
    <w:p>
      <w:pPr>
        <w:pStyle w:val="Body"/>
        <w:rPr>
          <w:sz w:val="24"/>
          <w:szCs w:val="24"/>
        </w:rPr>
      </w:pPr>
      <w:r>
        <w:rPr>
          <w:b w:val="1"/>
          <w:bCs w:val="1"/>
          <w:sz w:val="24"/>
          <w:szCs w:val="24"/>
          <w:rtl w:val="0"/>
          <w:lang w:val="en-US"/>
        </w:rPr>
        <w:t>2.5</w:t>
      </w:r>
      <w:r>
        <w:rPr>
          <w:sz w:val="24"/>
          <w:szCs w:val="24"/>
        </w:rPr>
        <w:tab/>
      </w:r>
      <w:r>
        <w:rPr>
          <w:sz w:val="24"/>
          <w:szCs w:val="24"/>
          <w:rtl w:val="0"/>
          <w:lang w:val="en-US"/>
        </w:rPr>
        <w:t>Fire apparatus tailboards and steps shall have a nonskid rough surface.</w:t>
      </w:r>
    </w:p>
    <w:p>
      <w:pPr>
        <w:pStyle w:val="Body"/>
        <w:rPr>
          <w:sz w:val="24"/>
          <w:szCs w:val="24"/>
        </w:rPr>
      </w:pPr>
    </w:p>
    <w:p>
      <w:pPr>
        <w:pStyle w:val="Body"/>
        <w:rPr>
          <w:sz w:val="24"/>
          <w:szCs w:val="24"/>
        </w:rPr>
      </w:pPr>
      <w:r>
        <w:rPr>
          <w:b w:val="1"/>
          <w:bCs w:val="1"/>
          <w:sz w:val="24"/>
          <w:szCs w:val="24"/>
          <w:rtl w:val="0"/>
          <w:lang w:val="en-US"/>
        </w:rPr>
        <w:t>2.6</w:t>
      </w:r>
      <w:r>
        <w:rPr>
          <w:sz w:val="24"/>
          <w:szCs w:val="24"/>
        </w:rPr>
        <w:tab/>
      </w:r>
      <w:r>
        <w:rPr>
          <w:sz w:val="24"/>
          <w:szCs w:val="24"/>
          <w:rtl w:val="0"/>
          <w:lang w:val="en-US"/>
        </w:rPr>
        <w:t xml:space="preserve"> Exhaust systems shall be installed and maintained in proper condition, and shall be so designed as to minimize the exposure of the firefighter to the exhaust gases and fumes.</w:t>
      </w:r>
    </w:p>
    <w:p>
      <w:pPr>
        <w:pStyle w:val="Body"/>
        <w:rPr>
          <w:sz w:val="24"/>
          <w:szCs w:val="24"/>
        </w:rPr>
      </w:pPr>
    </w:p>
    <w:p>
      <w:pPr>
        <w:pStyle w:val="Body"/>
        <w:rPr>
          <w:sz w:val="24"/>
          <w:szCs w:val="24"/>
        </w:rPr>
      </w:pPr>
      <w:r>
        <w:rPr>
          <w:b w:val="1"/>
          <w:bCs w:val="1"/>
          <w:sz w:val="24"/>
          <w:szCs w:val="24"/>
          <w:rtl w:val="0"/>
          <w:lang w:val="en-US"/>
        </w:rPr>
        <w:t>2.7</w:t>
      </w:r>
      <w:r>
        <w:rPr>
          <w:sz w:val="24"/>
          <w:szCs w:val="24"/>
        </w:rPr>
        <w:tab/>
      </w:r>
      <w:r>
        <w:rPr>
          <w:sz w:val="24"/>
          <w:szCs w:val="24"/>
          <w:rtl w:val="0"/>
          <w:lang w:val="en-US"/>
        </w:rPr>
        <w:t>Spinner knobs shall not be attached to the steering handwheel of fire apparatus.</w:t>
      </w:r>
    </w:p>
    <w:p>
      <w:pPr>
        <w:pStyle w:val="Body"/>
        <w:rPr>
          <w:sz w:val="24"/>
          <w:szCs w:val="24"/>
        </w:rPr>
      </w:pPr>
    </w:p>
    <w:p>
      <w:pPr>
        <w:pStyle w:val="Body"/>
        <w:rPr>
          <w:sz w:val="24"/>
          <w:szCs w:val="24"/>
        </w:rPr>
      </w:pPr>
      <w:r>
        <w:rPr>
          <w:b w:val="1"/>
          <w:bCs w:val="1"/>
          <w:sz w:val="24"/>
          <w:szCs w:val="24"/>
          <w:rtl w:val="0"/>
          <w:lang w:val="en-US"/>
        </w:rPr>
        <w:t>2.8</w:t>
      </w:r>
      <w:r>
        <w:rPr>
          <w:sz w:val="24"/>
          <w:szCs w:val="24"/>
        </w:rPr>
        <w:tab/>
      </w:r>
      <w:r>
        <w:rPr>
          <w:sz w:val="24"/>
          <w:szCs w:val="24"/>
          <w:rtl w:val="0"/>
          <w:lang w:val="en-US"/>
        </w:rPr>
        <w:t>The transmission shifting pattern of the apparatus shall be clearly stenciled or labeled and posted so it can be clearly read by the driver while operating the apparatus.</w:t>
      </w:r>
    </w:p>
    <w:p>
      <w:pPr>
        <w:pStyle w:val="Body"/>
        <w:rPr>
          <w:sz w:val="24"/>
          <w:szCs w:val="24"/>
        </w:rPr>
      </w:pPr>
    </w:p>
    <w:p>
      <w:pPr>
        <w:pStyle w:val="Body"/>
        <w:rPr>
          <w:sz w:val="24"/>
          <w:szCs w:val="24"/>
        </w:rPr>
      </w:pPr>
      <w:r>
        <w:rPr>
          <w:b w:val="1"/>
          <w:bCs w:val="1"/>
          <w:sz w:val="24"/>
          <w:szCs w:val="24"/>
          <w:rtl w:val="0"/>
          <w:lang w:val="en-US"/>
        </w:rPr>
        <w:t>2.9</w:t>
      </w:r>
      <w:r>
        <w:rPr>
          <w:sz w:val="24"/>
          <w:szCs w:val="24"/>
        </w:rPr>
        <w:tab/>
      </w:r>
      <w:r>
        <w:rPr>
          <w:sz w:val="24"/>
          <w:szCs w:val="24"/>
          <w:rtl w:val="0"/>
          <w:lang w:val="en-US"/>
        </w:rPr>
        <w:t>The height of any apparatus, over seven feet in height from the ground to the top of the beacon or highest point of the apparatus, shall be clearly labeled in a place where it can be easily and clearly read by the driver while operating the apparatus.</w:t>
      </w:r>
    </w:p>
    <w:p>
      <w:pPr>
        <w:pStyle w:val="Body"/>
        <w:rPr>
          <w:sz w:val="24"/>
          <w:szCs w:val="24"/>
        </w:rPr>
      </w:pPr>
    </w:p>
    <w:p>
      <w:pPr>
        <w:pStyle w:val="Body"/>
        <w:rPr>
          <w:sz w:val="24"/>
          <w:szCs w:val="24"/>
        </w:rPr>
      </w:pPr>
      <w:r>
        <w:rPr>
          <w:b w:val="1"/>
          <w:bCs w:val="1"/>
          <w:sz w:val="24"/>
          <w:szCs w:val="24"/>
          <w:rtl w:val="0"/>
          <w:lang w:val="en-US"/>
        </w:rPr>
        <w:t>2.10</w:t>
      </w:r>
      <w:r>
        <w:rPr>
          <w:sz w:val="24"/>
          <w:szCs w:val="24"/>
        </w:rPr>
        <w:tab/>
      </w:r>
      <w:r>
        <w:rPr>
          <w:sz w:val="24"/>
          <w:szCs w:val="24"/>
          <w:rtl w:val="0"/>
          <w:lang w:val="en-US"/>
        </w:rPr>
        <w:t>All apparatus in excess of 10,000 pounds loaded weight, shall have the weight of the vehicle in pounds and tons clearly labeled in a place where it can be easily and clearly read by the driver while operating the apparatus.</w:t>
      </w:r>
    </w:p>
    <w:p>
      <w:pPr>
        <w:pStyle w:val="Body"/>
        <w:rPr>
          <w:sz w:val="24"/>
          <w:szCs w:val="24"/>
        </w:rPr>
      </w:pPr>
    </w:p>
    <w:p>
      <w:pPr>
        <w:pStyle w:val="Body"/>
        <w:rPr>
          <w:sz w:val="24"/>
          <w:szCs w:val="24"/>
        </w:rPr>
      </w:pPr>
      <w:r>
        <w:rPr>
          <w:b w:val="1"/>
          <w:bCs w:val="1"/>
          <w:sz w:val="24"/>
          <w:szCs w:val="24"/>
          <w:rtl w:val="0"/>
          <w:lang w:val="en-US"/>
        </w:rPr>
        <w:t>2.11</w:t>
      </w:r>
      <w:r>
        <w:rPr>
          <w:sz w:val="24"/>
          <w:szCs w:val="24"/>
        </w:rPr>
        <w:tab/>
      </w:r>
      <w:r>
        <w:rPr>
          <w:sz w:val="24"/>
          <w:szCs w:val="24"/>
          <w:rtl w:val="0"/>
          <w:lang w:val="en-US"/>
        </w:rPr>
        <w:t>All hoses and equipment shall be secured to prevent unintentional or inadvertent deployment.</w:t>
      </w:r>
    </w:p>
    <w:p>
      <w:pPr>
        <w:pStyle w:val="Body"/>
        <w:rPr>
          <w:sz w:val="24"/>
          <w:szCs w:val="24"/>
        </w:rPr>
      </w:pPr>
    </w:p>
    <w:p>
      <w:pPr>
        <w:pStyle w:val="Body"/>
        <w:rPr>
          <w:rFonts w:ascii="Arial" w:cs="Arial" w:hAnsi="Arial" w:eastAsia="Arial"/>
          <w:sz w:val="24"/>
          <w:szCs w:val="24"/>
        </w:rPr>
      </w:pPr>
      <w:r>
        <w:rPr>
          <w:b w:val="1"/>
          <w:bCs w:val="1"/>
          <w:sz w:val="24"/>
          <w:szCs w:val="24"/>
          <w:rtl w:val="0"/>
          <w:lang w:val="en-US"/>
        </w:rPr>
        <w:t>2.12</w:t>
      </w:r>
      <w:r>
        <w:rPr>
          <w:sz w:val="24"/>
          <w:szCs w:val="24"/>
          <w:rtl w:val="0"/>
          <w:lang w:val="en-US"/>
        </w:rPr>
        <w:tab/>
        <w:t>N</w:t>
      </w:r>
      <w:r>
        <w:rPr>
          <w:sz w:val="24"/>
          <w:szCs w:val="24"/>
          <w:rtl w:val="0"/>
          <w:lang w:val="en-US"/>
        </w:rPr>
        <w:t>onmotorized equipment to be used in emergency response situations on all roadways must comply with Title 46 RCW, Motor vehicles.</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b w:val="1"/>
          <w:bCs w:val="1"/>
          <w:sz w:val="24"/>
          <w:szCs w:val="24"/>
          <w:rtl w:val="0"/>
        </w:rPr>
        <w:t>2.</w:t>
      </w:r>
      <w:r>
        <w:rPr>
          <w:rFonts w:ascii="Arial"/>
          <w:b w:val="1"/>
          <w:bCs w:val="1"/>
          <w:sz w:val="24"/>
          <w:szCs w:val="24"/>
          <w:rtl w:val="0"/>
          <w:lang w:val="en-US"/>
        </w:rPr>
        <w:t>13</w:t>
      </w:r>
      <w:r>
        <w:rPr>
          <w:rFonts w:ascii="Arial" w:cs="Arial" w:hAnsi="Arial" w:eastAsia="Arial"/>
          <w:sz w:val="24"/>
          <w:szCs w:val="24"/>
          <w:rtl w:val="0"/>
          <w:lang w:val="en-US"/>
        </w:rPr>
        <w:tab/>
        <w:t>All repairs to the suppression components of emergency vehicles of the fire department shall be done by an emergency vehicle technician, ASE certified technician or factory qualified individual. Repairs, maintenance or routine work to nonsuppression systems of suppression apparatus or other fire department vehicles and their equipment shall be done by personnel qualified in the specific area of repair. Fire service pumps with a capacity of 499 gallons per minute or less and not used for interior structural firefighting operations are exempt from this requirement.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b w:val="1"/>
          <w:bCs w:val="1"/>
          <w:sz w:val="24"/>
          <w:szCs w:val="24"/>
          <w:rtl w:val="0"/>
        </w:rPr>
        <w:t>2.</w:t>
      </w:r>
      <w:r>
        <w:rPr>
          <w:rFonts w:ascii="Arial"/>
          <w:b w:val="1"/>
          <w:bCs w:val="1"/>
          <w:sz w:val="24"/>
          <w:szCs w:val="24"/>
          <w:rtl w:val="0"/>
          <w:lang w:val="en-US"/>
        </w:rPr>
        <w:t>14</w:t>
      </w:r>
      <w:r>
        <w:rPr>
          <w:rFonts w:ascii="Arial" w:cs="Arial" w:hAnsi="Arial" w:eastAsia="Arial"/>
          <w:b w:val="1"/>
          <w:bCs w:val="1"/>
          <w:sz w:val="24"/>
          <w:szCs w:val="24"/>
          <w:rtl w:val="0"/>
        </w:rPr>
        <w:tab/>
      </w:r>
      <w:r>
        <w:rPr>
          <w:rFonts w:ascii="Arial"/>
          <w:sz w:val="24"/>
          <w:szCs w:val="24"/>
          <w:rtl w:val="0"/>
          <w:lang w:val="en-US"/>
        </w:rPr>
        <w:t xml:space="preserve">Repairs or </w:t>
      </w:r>
      <w:r>
        <w:rPr>
          <w:rFonts w:ascii="Arial"/>
          <w:sz w:val="24"/>
          <w:szCs w:val="24"/>
          <w:rtl w:val="0"/>
          <w:lang w:val="en-US"/>
        </w:rPr>
        <w:t>preventive maintenance to fire apparatus shall only be made by personnel deemed qualified by our department.</w:t>
      </w:r>
    </w:p>
    <w:p>
      <w:pPr>
        <w:pStyle w:val="Body"/>
        <w:rPr>
          <w:rFonts w:ascii="Arial" w:cs="Arial" w:hAnsi="Arial" w:eastAsia="Arial"/>
          <w:sz w:val="24"/>
          <w:szCs w:val="24"/>
        </w:rPr>
      </w:pPr>
    </w:p>
    <w:p>
      <w:pPr>
        <w:pStyle w:val="Body"/>
        <w:rPr>
          <w:sz w:val="24"/>
          <w:szCs w:val="24"/>
        </w:rPr>
      </w:pPr>
      <w:r>
        <w:rPr>
          <w:rFonts w:ascii="Arial"/>
          <w:b w:val="1"/>
          <w:bCs w:val="1"/>
          <w:sz w:val="24"/>
          <w:szCs w:val="24"/>
          <w:rtl w:val="0"/>
        </w:rPr>
        <w:t>2.</w:t>
      </w:r>
      <w:r>
        <w:rPr>
          <w:rFonts w:ascii="Arial"/>
          <w:b w:val="1"/>
          <w:bCs w:val="1"/>
          <w:sz w:val="24"/>
          <w:szCs w:val="24"/>
          <w:rtl w:val="0"/>
          <w:lang w:val="en-US"/>
        </w:rPr>
        <w:t>15</w:t>
      </w:r>
      <w:r>
        <w:rPr>
          <w:rFonts w:ascii="Arial" w:cs="Arial" w:hAnsi="Arial" w:eastAsia="Arial"/>
          <w:sz w:val="24"/>
          <w:szCs w:val="24"/>
          <w:rtl w:val="0"/>
          <w:lang w:val="en-US"/>
        </w:rPr>
        <w:tab/>
        <w:t>All apparatus shall be maintained following the department's preventative maintenance program and records shall be maintained for each individual apparatus to record and track potential or on-going problems.</w:t>
      </w:r>
      <w:r>
        <w:rPr>
          <w:rFonts w:ascii="Arial"/>
          <w:sz w:val="24"/>
          <w:szCs w:val="24"/>
          <w:rtl w:val="0"/>
          <w:lang w:val="en-US"/>
        </w:rPr>
        <w:t xml:space="preserve">  </w:t>
      </w:r>
      <w:r>
        <w:rPr>
          <w:sz w:val="24"/>
          <w:szCs w:val="24"/>
          <w:rtl w:val="0"/>
          <w:lang w:val="en-US"/>
        </w:rPr>
        <w:t>Apparatus shall be maintained and tested in accordance with the manufacturer's recommendations.</w:t>
      </w:r>
    </w:p>
    <w:p>
      <w:pPr>
        <w:pStyle w:val="Body"/>
        <w:ind w:left="720"/>
        <w:rPr>
          <w:i w:val="1"/>
          <w:iCs w:val="1"/>
          <w:sz w:val="24"/>
          <w:szCs w:val="24"/>
        </w:rPr>
      </w:pPr>
      <w:r>
        <w:rPr>
          <w:i w:val="1"/>
          <w:iCs w:val="1"/>
          <w:sz w:val="24"/>
          <w:szCs w:val="24"/>
          <w:rtl w:val="0"/>
        </w:rPr>
        <w:t>Note:</w:t>
      </w:r>
      <w:r>
        <w:rPr>
          <w:i w:val="1"/>
          <w:iCs w:val="1"/>
          <w:sz w:val="24"/>
          <w:szCs w:val="24"/>
          <w:rtl w:val="0"/>
          <w:lang w:val="en-US"/>
        </w:rPr>
        <w:t xml:space="preserve"> </w:t>
      </w:r>
      <w:r>
        <w:rPr>
          <w:i w:val="1"/>
          <w:iCs w:val="1"/>
          <w:sz w:val="24"/>
          <w:szCs w:val="24"/>
          <w:rtl w:val="0"/>
          <w:lang w:val="en-US"/>
        </w:rPr>
        <w:t>Additional information can be found in the 2007 edition of NFPA 1911, Standard for the Inspection, Maintenance, Testing and Retirement of In-service Automotive Fire Apparatus.</w:t>
      </w:r>
    </w:p>
    <w:p>
      <w:pPr>
        <w:pStyle w:val="Body"/>
        <w:ind w:left="720"/>
        <w:rPr>
          <w:i w:val="1"/>
          <w:iCs w:val="1"/>
          <w:sz w:val="24"/>
          <w:szCs w:val="24"/>
        </w:rPr>
      </w:pPr>
      <w:r>
        <w:rPr>
          <w:i w:val="1"/>
          <w:iCs w:val="1"/>
          <w:sz w:val="24"/>
          <w:szCs w:val="24"/>
          <w:rtl w:val="0"/>
          <w:lang w:val="en-US"/>
        </w:rPr>
        <w:t>Qualifications for persons working on emergency response vehicles can be found in the 2000 edition of NFPA 1071, Standard for Emergency Vehicle Technician Professional Qualification, A.1.1 and A.2.1.</w:t>
      </w:r>
    </w:p>
    <w:p>
      <w:pPr>
        <w:pStyle w:val="Body"/>
        <w:rPr>
          <w:rFonts w:ascii="Arial" w:cs="Arial" w:hAnsi="Arial" w:eastAsia="Arial"/>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u w:val="single"/>
        </w:rPr>
      </w:pPr>
      <w:r>
        <w:rPr>
          <w:rFonts w:ascii="Arial"/>
          <w:b w:val="1"/>
          <w:bCs w:val="1"/>
          <w:sz w:val="24"/>
          <w:szCs w:val="24"/>
          <w:rtl w:val="0"/>
        </w:rPr>
        <w:t>3.0</w:t>
        <w:tab/>
      </w:r>
      <w:r>
        <w:rPr>
          <w:rFonts w:ascii="Arial"/>
          <w:b w:val="1"/>
          <w:bCs w:val="1"/>
          <w:sz w:val="24"/>
          <w:szCs w:val="24"/>
          <w:u w:val="single"/>
          <w:rtl w:val="0"/>
        </w:rPr>
        <w:t>DEFINITIONS</w:t>
      </w:r>
    </w:p>
    <w:p>
      <w:pPr>
        <w:pStyle w:val="Body"/>
        <w:rPr>
          <w:rFonts w:ascii="Arial" w:cs="Arial" w:hAnsi="Arial" w:eastAsia="Arial"/>
          <w:b w:val="1"/>
          <w:bCs w:val="1"/>
          <w:sz w:val="24"/>
          <w:szCs w:val="24"/>
        </w:rPr>
      </w:pPr>
      <w:r>
        <w:rPr>
          <w:rFonts w:ascii="Arial" w:cs="Arial" w:hAnsi="Arial" w:eastAsia="Arial"/>
          <w:sz w:val="24"/>
          <w:szCs w:val="24"/>
          <w:rtl w:val="0"/>
        </w:rPr>
        <w:tab/>
        <w:tab/>
        <w:t>N/A</w:t>
      </w:r>
    </w:p>
    <w:p>
      <w:pPr>
        <w:pStyle w:val="Body"/>
        <w:rPr>
          <w:rFonts w:ascii="Arial" w:cs="Arial" w:hAnsi="Arial" w:eastAsia="Arial"/>
          <w:b w:val="1"/>
          <w:bCs w:val="1"/>
          <w:sz w:val="24"/>
          <w:szCs w:val="24"/>
        </w:rPr>
      </w:pPr>
    </w:p>
    <w:p>
      <w:pPr>
        <w:pStyle w:val="Body"/>
        <w:rPr>
          <w:rFonts w:ascii="Arial" w:cs="Arial" w:hAnsi="Arial" w:eastAsia="Arial"/>
          <w:sz w:val="24"/>
          <w:szCs w:val="24"/>
        </w:rPr>
      </w:pPr>
      <w:r>
        <w:rPr>
          <w:rFonts w:ascii="Arial"/>
          <w:b w:val="1"/>
          <w:bCs w:val="1"/>
          <w:sz w:val="24"/>
          <w:szCs w:val="24"/>
          <w:rtl w:val="0"/>
        </w:rPr>
        <w:t>4.0</w:t>
        <w:tab/>
      </w:r>
      <w:r>
        <w:rPr>
          <w:rFonts w:ascii="Arial"/>
          <w:b w:val="1"/>
          <w:bCs w:val="1"/>
          <w:sz w:val="24"/>
          <w:szCs w:val="24"/>
          <w:u w:val="single"/>
          <w:rtl w:val="0"/>
        </w:rPr>
        <w:t>RESPONSIBILITY</w:t>
      </w:r>
    </w:p>
    <w:p>
      <w:pPr>
        <w:pStyle w:val="Body"/>
        <w:rPr>
          <w:rFonts w:ascii="Arial" w:cs="Arial" w:hAnsi="Arial" w:eastAsia="Arial"/>
          <w:sz w:val="24"/>
          <w:szCs w:val="24"/>
        </w:rPr>
      </w:pPr>
      <w:r>
        <w:rPr>
          <w:rFonts w:ascii="Arial" w:cs="Arial" w:hAnsi="Arial" w:eastAsia="Arial"/>
          <w:sz w:val="24"/>
          <w:szCs w:val="24"/>
          <w:rtl w:val="0"/>
        </w:rPr>
        <w:tab/>
        <w:tab/>
        <w:t>VARIABLE</w:t>
      </w:r>
    </w:p>
    <w:p>
      <w:pPr>
        <w:pStyle w:val="Body"/>
        <w:rPr>
          <w:rFonts w:ascii="Arial" w:cs="Arial" w:hAnsi="Arial" w:eastAsia="Arial"/>
          <w:sz w:val="24"/>
          <w:szCs w:val="24"/>
        </w:rPr>
      </w:pPr>
    </w:p>
    <w:p>
      <w:pPr>
        <w:pStyle w:val="Body"/>
        <w:rPr>
          <w:rFonts w:ascii="Arial" w:cs="Arial" w:hAnsi="Arial" w:eastAsia="Arial"/>
          <w:b w:val="1"/>
          <w:bCs w:val="1"/>
          <w:sz w:val="24"/>
          <w:szCs w:val="24"/>
          <w:u w:val="single"/>
        </w:rPr>
      </w:pPr>
      <w:r>
        <w:rPr>
          <w:rFonts w:ascii="Arial"/>
          <w:b w:val="1"/>
          <w:bCs w:val="1"/>
          <w:sz w:val="24"/>
          <w:szCs w:val="24"/>
          <w:rtl w:val="0"/>
        </w:rPr>
        <w:t>5.0</w:t>
        <w:tab/>
      </w:r>
      <w:r>
        <w:rPr>
          <w:rFonts w:ascii="Arial"/>
          <w:b w:val="1"/>
          <w:bCs w:val="1"/>
          <w:sz w:val="24"/>
          <w:szCs w:val="24"/>
          <w:u w:val="single"/>
          <w:rtl w:val="0"/>
        </w:rPr>
        <w:t>GUIDELINES</w:t>
      </w:r>
    </w:p>
    <w:p>
      <w:pPr>
        <w:pStyle w:val="Body"/>
        <w:rPr>
          <w:rFonts w:ascii="Arial" w:cs="Arial" w:hAnsi="Arial" w:eastAsia="Arial"/>
          <w:b w:val="1"/>
          <w:bCs w:val="1"/>
          <w:sz w:val="24"/>
          <w:szCs w:val="24"/>
        </w:rPr>
      </w:pPr>
      <w:r>
        <w:rPr>
          <w:rFonts w:ascii="Arial" w:cs="Arial" w:hAnsi="Arial" w:eastAsia="Arial"/>
          <w:sz w:val="24"/>
          <w:szCs w:val="24"/>
          <w:rtl w:val="0"/>
          <w:lang w:val="en-US"/>
        </w:rPr>
        <w:tab/>
        <w:tab/>
        <w:t>Manufacturer's recommendations</w:t>
      </w:r>
    </w:p>
    <w:p>
      <w:pPr>
        <w:pStyle w:val="Body"/>
        <w:rPr>
          <w:rFonts w:ascii="Arial" w:cs="Arial" w:hAnsi="Arial" w:eastAsia="Arial"/>
          <w:b w:val="1"/>
          <w:bCs w:val="1"/>
          <w:sz w:val="24"/>
          <w:szCs w:val="24"/>
        </w:rPr>
      </w:pPr>
    </w:p>
    <w:p>
      <w:pPr>
        <w:pStyle w:val="Body"/>
        <w:rPr>
          <w:rFonts w:ascii="Arial" w:cs="Arial" w:hAnsi="Arial" w:eastAsia="Arial"/>
          <w:sz w:val="24"/>
          <w:szCs w:val="24"/>
        </w:rPr>
      </w:pPr>
      <w:r>
        <w:rPr>
          <w:rFonts w:ascii="Arial"/>
          <w:b w:val="1"/>
          <w:bCs w:val="1"/>
          <w:sz w:val="24"/>
          <w:szCs w:val="24"/>
          <w:rtl w:val="0"/>
        </w:rPr>
        <w:t>6.0</w:t>
        <w:tab/>
      </w:r>
      <w:r>
        <w:rPr>
          <w:rFonts w:ascii="Arial"/>
          <w:b w:val="1"/>
          <w:bCs w:val="1"/>
          <w:sz w:val="24"/>
          <w:szCs w:val="24"/>
          <w:u w:val="single"/>
          <w:rtl w:val="0"/>
        </w:rPr>
        <w:t>ADDITIONAL REFERENCES</w:t>
      </w:r>
    </w:p>
    <w:p>
      <w:pPr>
        <w:pStyle w:val="Body"/>
        <w:rPr>
          <w:rFonts w:ascii="Arial" w:cs="Arial" w:hAnsi="Arial" w:eastAsia="Arial"/>
          <w:b w:val="1"/>
          <w:bCs w:val="1"/>
          <w:sz w:val="24"/>
          <w:szCs w:val="24"/>
        </w:rPr>
      </w:pPr>
    </w:p>
    <w:p>
      <w:pPr>
        <w:pStyle w:val="Body"/>
      </w:pPr>
      <w:r>
        <w:rPr>
          <w:rFonts w:ascii="Arial"/>
          <w:b w:val="1"/>
          <w:bCs w:val="1"/>
          <w:sz w:val="24"/>
          <w:szCs w:val="24"/>
          <w:rtl w:val="0"/>
        </w:rPr>
        <w:t>7.0</w:t>
        <w:tab/>
      </w:r>
      <w:r>
        <w:rPr>
          <w:rFonts w:ascii="Arial"/>
          <w:b w:val="1"/>
          <w:bCs w:val="1"/>
          <w:sz w:val="24"/>
          <w:szCs w:val="24"/>
          <w:u w:val="single"/>
          <w:rtl w:val="0"/>
        </w:rPr>
        <w:t>APPENDIX</w:t>
      </w:r>
      <w:r>
        <w:rPr>
          <w:rFonts w:ascii="Arial" w:cs="Arial" w:hAnsi="Arial" w:eastAsia="Arial"/>
          <w:sz w:val="24"/>
          <w:szCs w:val="24"/>
          <w:rtl w:val="0"/>
        </w:rPr>
        <w:tab/>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3/10/15</w:t>
    </w:r>
    <w:r>
      <w:rPr>
        <w:i w:val="1"/>
        <w:iCs w:val="1"/>
        <w:sz w:val="20"/>
        <w:szCs w:val="20"/>
      </w:rPr>
      <w:tab/>
      <w:tab/>
    </w:r>
    <w:r>
      <w:rPr>
        <w:rFonts w:ascii="Arial"/>
        <w:i w:val="1"/>
        <w:iCs w:val="1"/>
        <w:sz w:val="20"/>
        <w:szCs w:val="20"/>
        <w:rtl w:val="0"/>
      </w:rPr>
      <w:t>12.0</w:t>
    </w:r>
    <w:r>
      <w:rPr>
        <w:rFonts w:ascii="Arial"/>
        <w:i w:val="1"/>
        <w:iCs w:val="1"/>
        <w:sz w:val="20"/>
        <w:szCs w:val="20"/>
        <w:rtl w:val="0"/>
        <w:lang w:val="en-US"/>
      </w:rPr>
      <w:t>5</w:t>
    </w:r>
    <w:r>
      <w:rPr>
        <w:rFonts w:ascii="Arial"/>
        <w:i w:val="1"/>
        <w:iCs w:val="1"/>
        <w:sz w:val="20"/>
        <w:szCs w:val="20"/>
        <w:rtl w:val="0"/>
      </w:rPr>
      <w:t>.0</w:t>
    </w:r>
    <w:r>
      <w:rPr>
        <w:rFonts w:ascii="Arial"/>
        <w:i w:val="1"/>
        <w:iCs w:val="1"/>
        <w:sz w:val="20"/>
        <w:szCs w:val="20"/>
        <w:rtl w:val="0"/>
        <w:lang w:val="en-US"/>
      </w:rPr>
      <w:t>2 Apparatus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character" w:styleId="None">
    <w:name w:val="None"/>
  </w:style>
  <w:style w:type="character" w:styleId="Hyperlink.0">
    <w:name w:val="Hyperlink.0"/>
    <w:basedOn w:val="None"/>
    <w:next w:val="Hyperlink.0"/>
    <w:rPr>
      <w:color w:val="2a674c"/>
      <w:u w:val="single" w:color="2a674c"/>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app.leg.wa.gov/WAC/default.aspx?cite=296-865"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