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72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12.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10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03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 xml:space="preserve"> HOSE DRYING TOWERS</w:t>
      </w:r>
    </w:p>
    <w:p>
      <w:pPr>
        <w:pStyle w:val="Body"/>
        <w:tabs>
          <w:tab w:val="left" w:pos="72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REFERENCE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WAC 296-305-06515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POLICY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2.1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The floor openings on hose tower platforms shall be equipped with a forty-two inch guardrail with mid-rail and shall be capable of withstanding a force of 250 pounds applied in any direction at any point on the top rail. The work platform shall be equipped with toeboards.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2.2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The requirements for offset ladder platforms and ladder cage guards, when ladders extend beyond twenty feet, shall apply to hose drying towers.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2.3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Ropes and attachments used to hoist hose in the hose towers shall have a breaking strength of 1500 pounds for a safe load strength of 300 pounds (five-to-one safety factor).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 xml:space="preserve">2.4 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Approved head protection shall be worn by all persons in the hose tower whenever hose handling/hanging operations are taking place.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2.5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Ropes utilizing a pulley block shall be appropriately sized for the sheave to prevent possible jamming or damage to the rope.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3.0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DEFINITIONS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NA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RESPONSIBILITY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N/A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GUIDELINES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N/A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6.0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ADDITIONAL REFERENCES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7.0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APPENDIX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1"/>
          <w:szCs w:val="21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N/A</w:t>
      </w: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0" w:right="0" w:firstLine="0"/>
        <w:jc w:val="left"/>
        <w:rPr>
          <w:rFonts w:ascii="Arial" w:cs="Arial" w:hAnsi="Arial" w:eastAsia="Arial"/>
          <w:sz w:val="21"/>
          <w:szCs w:val="21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sz w:val="21"/>
          <w:szCs w:val="21"/>
          <w:u w:color="000000"/>
          <w:rtl w:val="0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i w:val="1"/>
        <w:iCs w:val="1"/>
        <w:sz w:val="20"/>
        <w:szCs w:val="20"/>
        <w:rtl w:val="0"/>
        <w:lang w:val="en-US"/>
      </w:rPr>
      <w:t>Updated 2/20/15</w:t>
    </w:r>
    <w:r>
      <w:rPr>
        <w:i w:val="1"/>
        <w:iCs w:val="1"/>
        <w:sz w:val="20"/>
        <w:szCs w:val="20"/>
      </w:rPr>
      <w:tab/>
      <w:tab/>
    </w:r>
    <w:r>
      <w:rPr>
        <w:i w:val="1"/>
        <w:iCs w:val="1"/>
        <w:sz w:val="20"/>
        <w:szCs w:val="20"/>
        <w:rtl w:val="0"/>
        <w:lang w:val="en-US"/>
      </w:rPr>
      <w:t>12.10.03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