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12.02.0</w:t>
      </w: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3.02</w:t>
      </w: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 xml:space="preserve"> BODY ARMOR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1.0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REFERENCE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  <w:t>WAC 296-305-02012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2.0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POLICY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2.1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Body armor when provided shall be used by members during operations that present a hazard from ballistic weapons fire or similar risk, whether real or potential, for their protection.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2.2</w:t>
        <w:tab/>
      </w:r>
      <w:r>
        <w:rPr>
          <w:rFonts w:ascii="Arial"/>
          <w:sz w:val="24"/>
          <w:szCs w:val="24"/>
          <w:u w:color="000000"/>
          <w:rtl w:val="0"/>
          <w:lang w:val="en-US"/>
        </w:rPr>
        <w:t>Body armor</w:t>
      </w: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/>
          <w:sz w:val="24"/>
          <w:szCs w:val="24"/>
          <w:u w:color="000000"/>
          <w:rtl w:val="0"/>
          <w:lang w:val="en-US"/>
        </w:rPr>
        <w:t>shall be used, maintained, cleaned and stored in compliance with the manufacturer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/>
          <w:sz w:val="24"/>
          <w:szCs w:val="24"/>
          <w:u w:color="000000"/>
          <w:rtl w:val="0"/>
          <w:lang w:val="en-US"/>
        </w:rPr>
        <w:t>s recommendations.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2.3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All protective body armor shall meet or exceed National Institute of Justice NIF 0101. 04; Threat Level II requirements or the June 2001 revision, NIJ 0101.04A.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2.4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Body armor shall be correctly fitted following the manufacturer's recommendations and shall not be used beyond the manufacturer's warranty.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3.0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RESPONSIBILITY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3.1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VARIABLE shall be responsible for managing the body armor program.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4.0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DEFINITIONS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5.0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GUIDELINES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6.0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ADDITIONAL REFERENCES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7.0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APPENDIX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  <w:t>N/A</w:t>
      </w:r>
    </w:p>
    <w:p>
      <w:pPr>
        <w:pStyle w:val="Body"/>
        <w:tabs>
          <w:tab w:val="left" w:pos="1"/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19"/>
          <w:szCs w:val="19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